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90" w:lineRule="exact"/>
        <w:jc w:val="center"/>
        <w:rPr>
          <w:rFonts w:ascii="黑体" w:hAnsi="ˎ̥" w:eastAsia="黑体"/>
          <w:sz w:val="44"/>
          <w:szCs w:val="44"/>
          <w:highlight w:val="red"/>
        </w:rPr>
      </w:pPr>
      <w:r>
        <w:rPr>
          <w:rFonts w:hint="eastAsia" w:ascii="黑体" w:hAnsi="ˎ̥" w:eastAsia="黑体"/>
          <w:sz w:val="44"/>
          <w:szCs w:val="44"/>
        </w:rPr>
        <w:t>海南省博物馆2020年</w:t>
      </w:r>
      <w:bookmarkStart w:id="106" w:name="_GoBack"/>
      <w:bookmarkEnd w:id="106"/>
      <w:r>
        <w:rPr>
          <w:rFonts w:hint="eastAsia" w:ascii="黑体" w:hAnsi="ˎ̥" w:eastAsia="黑体"/>
          <w:sz w:val="44"/>
          <w:szCs w:val="44"/>
        </w:rPr>
        <w:t>度单位决算公开文字说明</w:t>
      </w:r>
    </w:p>
    <w:p>
      <w:pPr>
        <w:spacing w:line="590" w:lineRule="exact"/>
        <w:jc w:val="center"/>
        <w:rPr>
          <w:rFonts w:ascii="黑体" w:hAnsi="ˎ̥" w:eastAsia="黑体"/>
          <w:b/>
          <w:sz w:val="32"/>
          <w:szCs w:val="32"/>
        </w:rPr>
      </w:pPr>
    </w:p>
    <w:p>
      <w:pPr>
        <w:spacing w:line="590" w:lineRule="exact"/>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8"/>
        <w:tabs>
          <w:tab w:val="right" w:leader="dot" w:pos="8306"/>
        </w:tabs>
        <w:spacing w:before="0" w:beforeAutospacing="0" w:after="0" w:afterAutospacing="0" w:line="590" w:lineRule="exact"/>
        <w:rPr>
          <w:sz w:val="32"/>
          <w:szCs w:val="32"/>
        </w:rPr>
      </w:pPr>
      <w:r>
        <w:rPr>
          <w:rFonts w:hint="eastAsia" w:ascii="黑体" w:hAnsi="ˎ̥" w:eastAsia="黑体"/>
          <w:sz w:val="32"/>
          <w:szCs w:val="32"/>
        </w:rPr>
        <w:t>第一部分 单位概况</w:t>
      </w:r>
      <w:r>
        <w:rPr>
          <w:sz w:val="32"/>
          <w:szCs w:val="32"/>
        </w:rPr>
        <w:tab/>
      </w:r>
      <w:r>
        <w:rPr>
          <w:sz w:val="32"/>
          <w:szCs w:val="32"/>
        </w:rPr>
        <w:t>3</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一、单位职责</w:t>
      </w:r>
      <w:r>
        <w:rPr>
          <w:rFonts w:hint="eastAsia" w:ascii="仿宋" w:hAnsi="仿宋" w:eastAsia="仿宋" w:cs="仿宋"/>
          <w:sz w:val="32"/>
          <w:szCs w:val="32"/>
        </w:rPr>
        <w:tab/>
      </w:r>
      <w:r>
        <w:rPr>
          <w:rFonts w:hint="eastAsia" w:ascii="仿宋" w:hAnsi="仿宋" w:eastAsia="仿宋" w:cs="仿宋"/>
          <w:sz w:val="32"/>
          <w:szCs w:val="32"/>
        </w:rPr>
        <w:t>3</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3</w:t>
      </w:r>
    </w:p>
    <w:p>
      <w:pPr>
        <w:pStyle w:val="8"/>
        <w:tabs>
          <w:tab w:val="right" w:leader="dot" w:pos="8306"/>
        </w:tabs>
        <w:spacing w:before="0" w:beforeAutospacing="0" w:after="0" w:afterAutospacing="0" w:line="590" w:lineRule="exact"/>
        <w:rPr>
          <w:sz w:val="32"/>
          <w:szCs w:val="32"/>
        </w:rPr>
      </w:pPr>
      <w:r>
        <w:rPr>
          <w:rFonts w:hint="eastAsia" w:ascii="黑体" w:hAnsi="ˎ̥" w:eastAsia="黑体"/>
          <w:sz w:val="32"/>
          <w:szCs w:val="32"/>
        </w:rPr>
        <w:t>第二部分 海南省博物馆2020年度单位决算公开表</w:t>
      </w:r>
      <w:r>
        <w:rPr>
          <w:sz w:val="32"/>
          <w:szCs w:val="32"/>
        </w:rPr>
        <w:tab/>
      </w:r>
      <w:r>
        <w:rPr>
          <w:rFonts w:hint="eastAsia"/>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一、收入支出决算公开表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二、收入决算公开表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三、支出决算公开表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四、财政拨款收入支出决算公开表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五、一般公共预算财政拨款收入支出决算公开表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六、一般公共预算财政拨款基本支出决算公开表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七、政府性基金预算财政拨款收入支出决算公开表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八、国有资本经营预算财政拨款收入支出决算公开表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九、一般公共预算财政拨款“三公”经费支出决算公开表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十、政府性基金预算财政拨款“三公”经费支出决算公开表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十一、国有资本经营预算财政拨款“三公”经费支出决算公开表</w:t>
      </w:r>
      <w:r>
        <w:rPr>
          <w:rFonts w:hint="eastAsia" w:ascii="仿宋" w:hAnsi="仿宋" w:eastAsia="仿宋" w:cs="仿宋"/>
          <w:sz w:val="32"/>
          <w:szCs w:val="32"/>
        </w:rPr>
        <w:tab/>
      </w:r>
      <w:r>
        <w:rPr>
          <w:rFonts w:hint="eastAsia" w:ascii="仿宋" w:hAnsi="仿宋" w:eastAsia="仿宋" w:cs="仿宋"/>
          <w:sz w:val="32"/>
          <w:szCs w:val="32"/>
        </w:rPr>
        <w:t>4</w:t>
      </w:r>
    </w:p>
    <w:p>
      <w:pPr>
        <w:pStyle w:val="8"/>
        <w:tabs>
          <w:tab w:val="right" w:leader="dot" w:pos="8306"/>
        </w:tabs>
        <w:spacing w:before="0" w:beforeAutospacing="0" w:after="0" w:afterAutospacing="0" w:line="590" w:lineRule="exact"/>
        <w:rPr>
          <w:sz w:val="32"/>
          <w:szCs w:val="32"/>
        </w:rPr>
      </w:pPr>
      <w:r>
        <w:rPr>
          <w:rFonts w:hint="eastAsia" w:ascii="黑体" w:hAnsi="黑体" w:eastAsia="黑体" w:cs="黑体"/>
          <w:sz w:val="32"/>
          <w:szCs w:val="32"/>
        </w:rPr>
        <w:t>第三部分</w:t>
      </w:r>
      <w:r>
        <w:rPr>
          <w:rFonts w:hint="eastAsia" w:ascii="黑体" w:hAnsi="ˎ̥" w:eastAsia="黑体"/>
          <w:sz w:val="32"/>
          <w:szCs w:val="32"/>
        </w:rPr>
        <w:t>海南省博物馆2020年度单位决算情况说明</w:t>
      </w:r>
      <w:r>
        <w:rPr>
          <w:sz w:val="32"/>
          <w:szCs w:val="32"/>
        </w:rPr>
        <w:tab/>
      </w:r>
      <w:r>
        <w:rPr>
          <w:rFonts w:hint="eastAsia"/>
          <w:sz w:val="32"/>
          <w:szCs w:val="32"/>
        </w:rPr>
        <w:t>5</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bCs/>
          <w:sz w:val="32"/>
          <w:szCs w:val="32"/>
        </w:rPr>
        <w:t>一、收入支出决算总体情况说明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5</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6</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t>6</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6</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tab/>
      </w:r>
      <w:r>
        <w:rPr>
          <w:rFonts w:hint="eastAsia" w:ascii="仿宋" w:hAnsi="仿宋" w:eastAsia="仿宋" w:cs="仿宋"/>
          <w:sz w:val="32"/>
          <w:szCs w:val="32"/>
        </w:rPr>
        <w:t>9</w:t>
      </w:r>
    </w:p>
    <w:p>
      <w:pPr>
        <w:pStyle w:val="9"/>
        <w:tabs>
          <w:tab w:val="right" w:leader="dot" w:pos="8306"/>
        </w:tabs>
        <w:spacing w:before="0" w:beforeAutospacing="0" w:after="0" w:afterAutospacing="0" w:line="590" w:lineRule="exact"/>
        <w:rPr>
          <w:rFonts w:hint="eastAsia" w:ascii="仿宋" w:hAnsi="仿宋" w:eastAsia="仿宋" w:cs="仿宋"/>
          <w:sz w:val="32"/>
          <w:szCs w:val="32"/>
          <w:lang w:val="en-US" w:eastAsia="zh-CN"/>
        </w:rPr>
      </w:pPr>
      <w:r>
        <w:rPr>
          <w:rFonts w:hint="eastAsia" w:ascii="仿宋" w:hAnsi="仿宋" w:eastAsia="仿宋" w:cs="仿宋"/>
          <w:sz w:val="32"/>
          <w:szCs w:val="32"/>
        </w:rPr>
        <w:t>七、政府性基金预算财政拨款收入支出决算情况说明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9</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八、国有资本经营预算财政拨款收入支出决算情况说明</w:t>
      </w:r>
      <w:r>
        <w:rPr>
          <w:rFonts w:hint="eastAsia" w:ascii="仿宋" w:hAnsi="仿宋" w:eastAsia="仿宋" w:cs="仿宋"/>
          <w:sz w:val="32"/>
          <w:szCs w:val="32"/>
        </w:rPr>
        <w:tab/>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10</w:t>
      </w:r>
    </w:p>
    <w:p>
      <w:pPr>
        <w:pStyle w:val="9"/>
        <w:tabs>
          <w:tab w:val="right" w:leader="dot" w:pos="8306"/>
        </w:tabs>
        <w:spacing w:before="0" w:beforeAutospacing="0" w:after="0" w:afterAutospacing="0" w:line="590" w:lineRule="exact"/>
        <w:rPr>
          <w:rFonts w:hint="eastAsia" w:ascii="仿宋" w:hAnsi="仿宋" w:eastAsia="仿宋" w:cs="仿宋"/>
          <w:sz w:val="32"/>
          <w:szCs w:val="32"/>
          <w:lang w:val="en-US" w:eastAsia="zh-CN"/>
        </w:rPr>
      </w:pPr>
      <w:r>
        <w:rPr>
          <w:rFonts w:hint="eastAsia" w:ascii="仿宋" w:hAnsi="仿宋" w:eastAsia="仿宋" w:cs="仿宋"/>
          <w:bCs/>
          <w:sz w:val="32"/>
          <w:szCs w:val="32"/>
        </w:rPr>
        <w:t>九、一般公共预算财政拨款“三公”经费支出决算情况</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0</w:t>
      </w:r>
    </w:p>
    <w:p>
      <w:pPr>
        <w:pStyle w:val="9"/>
        <w:tabs>
          <w:tab w:val="right" w:leader="dot" w:pos="8306"/>
        </w:tabs>
        <w:spacing w:before="0" w:beforeAutospacing="0" w:after="0" w:afterAutospacing="0" w:line="590" w:lineRule="exact"/>
        <w:rPr>
          <w:rFonts w:ascii="仿宋" w:hAnsi="仿宋" w:eastAsia="仿宋" w:cs="仿宋"/>
          <w:sz w:val="32"/>
          <w:szCs w:val="32"/>
        </w:rPr>
      </w:pPr>
      <w:r>
        <w:rPr>
          <w:rFonts w:hint="eastAsia" w:ascii="仿宋" w:hAnsi="仿宋" w:eastAsia="仿宋" w:cs="仿宋"/>
          <w:bCs/>
          <w:sz w:val="32"/>
          <w:szCs w:val="32"/>
        </w:rPr>
        <w:t>十、政府性基金预算财政拨款“三公”经费支出决算情说明</w:t>
      </w:r>
      <w:r>
        <w:rPr>
          <w:rFonts w:hint="eastAsia" w:ascii="仿宋" w:hAnsi="仿宋" w:eastAsia="仿宋" w:cs="仿宋"/>
          <w:sz w:val="32"/>
          <w:szCs w:val="32"/>
        </w:rPr>
        <w:tab/>
      </w:r>
      <w:r>
        <w:rPr>
          <w:rFonts w:hint="eastAsia" w:ascii="仿宋" w:hAnsi="仿宋" w:eastAsia="仿宋" w:cs="仿宋"/>
          <w:sz w:val="32"/>
          <w:szCs w:val="32"/>
        </w:rPr>
        <w:t>12</w:t>
      </w:r>
    </w:p>
    <w:p>
      <w:pPr>
        <w:pStyle w:val="9"/>
        <w:tabs>
          <w:tab w:val="right" w:leader="dot" w:pos="8306"/>
        </w:tabs>
        <w:spacing w:before="0" w:beforeAutospacing="0" w:after="0" w:afterAutospacing="0"/>
        <w:rPr>
          <w:rFonts w:ascii="仿宋" w:hAnsi="仿宋" w:eastAsia="仿宋" w:cs="仿宋"/>
          <w:sz w:val="32"/>
          <w:szCs w:val="32"/>
        </w:rPr>
      </w:pPr>
      <w:r>
        <w:rPr>
          <w:rFonts w:hint="eastAsia" w:ascii="仿宋" w:hAnsi="仿宋" w:eastAsia="仿宋" w:cs="仿宋"/>
          <w:bCs/>
          <w:sz w:val="32"/>
          <w:szCs w:val="32"/>
        </w:rPr>
        <w:t>十一、国有资本经营预算财政拨款“三公”经费支出决算情况说明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t>12</w:t>
      </w:r>
    </w:p>
    <w:p>
      <w:pPr>
        <w:pStyle w:val="9"/>
        <w:tabs>
          <w:tab w:val="right" w:leader="dot" w:pos="8306"/>
        </w:tabs>
        <w:spacing w:before="0" w:beforeAutospacing="0" w:after="0" w:afterAutospacing="0" w:line="590" w:lineRule="exact"/>
        <w:rPr>
          <w:rFonts w:hint="eastAsia" w:ascii="仿宋" w:hAnsi="仿宋" w:eastAsia="仿宋" w:cs="仿宋"/>
          <w:sz w:val="32"/>
          <w:szCs w:val="32"/>
          <w:lang w:val="en-US" w:eastAsia="zh-CN"/>
        </w:rPr>
      </w:pPr>
      <w:r>
        <w:rPr>
          <w:rFonts w:hint="eastAsia" w:ascii="仿宋" w:hAnsi="仿宋" w:eastAsia="仿宋" w:cs="仿宋"/>
          <w:bCs/>
          <w:sz w:val="32"/>
          <w:szCs w:val="32"/>
        </w:rPr>
        <w:t>十二、预算绩效情况说明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2</w:t>
      </w:r>
    </w:p>
    <w:p>
      <w:pPr>
        <w:pStyle w:val="9"/>
        <w:tabs>
          <w:tab w:val="right" w:leader="dot" w:pos="8306"/>
        </w:tabs>
        <w:spacing w:before="0" w:beforeAutospacing="0" w:after="0" w:afterAutospacing="0" w:line="590" w:lineRule="exact"/>
        <w:rPr>
          <w:rFonts w:hint="eastAsia" w:ascii="仿宋" w:hAnsi="仿宋" w:eastAsia="仿宋" w:cs="仿宋"/>
          <w:sz w:val="32"/>
          <w:szCs w:val="32"/>
          <w:lang w:val="en-US" w:eastAsia="zh-CN"/>
        </w:rPr>
      </w:pPr>
      <w:r>
        <w:rPr>
          <w:rFonts w:hint="eastAsia" w:ascii="仿宋" w:hAnsi="仿宋" w:eastAsia="仿宋" w:cs="仿宋"/>
          <w:bCs/>
          <w:sz w:val="32"/>
          <w:szCs w:val="32"/>
        </w:rPr>
        <w:t>十三、其他重要事项情况说明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5</w:t>
      </w:r>
    </w:p>
    <w:p>
      <w:pPr>
        <w:pStyle w:val="8"/>
        <w:tabs>
          <w:tab w:val="right" w:leader="dot" w:pos="8306"/>
        </w:tabs>
        <w:spacing w:before="0" w:beforeAutospacing="0" w:after="0" w:afterAutospacing="0" w:line="590" w:lineRule="exact"/>
        <w:rPr>
          <w:sz w:val="32"/>
          <w:szCs w:val="32"/>
        </w:rPr>
      </w:pPr>
      <w:r>
        <w:rPr>
          <w:rFonts w:hint="eastAsia" w:ascii="黑体" w:hAnsi="ˎ̥" w:eastAsia="黑体"/>
          <w:sz w:val="32"/>
          <w:szCs w:val="32"/>
        </w:rPr>
        <w:t>第四部分  名词解释</w:t>
      </w:r>
      <w:r>
        <w:rPr>
          <w:sz w:val="32"/>
          <w:szCs w:val="32"/>
        </w:rPr>
        <w:tab/>
      </w:r>
      <w:bookmarkEnd w:id="0"/>
      <w:r>
        <w:rPr>
          <w:rFonts w:hint="eastAsia"/>
          <w:sz w:val="32"/>
          <w:szCs w:val="32"/>
        </w:rPr>
        <w:t>16</w:t>
      </w:r>
    </w:p>
    <w:p>
      <w:pPr>
        <w:spacing w:line="590" w:lineRule="exact"/>
        <w:rPr>
          <w:rFonts w:ascii="黑体" w:hAnsi="黑体" w:eastAsia="黑体" w:cs="黑体"/>
          <w:sz w:val="32"/>
          <w:szCs w:val="32"/>
        </w:rPr>
      </w:pPr>
    </w:p>
    <w:p>
      <w:pPr>
        <w:spacing w:line="590" w:lineRule="exact"/>
        <w:jc w:val="center"/>
        <w:rPr>
          <w:rFonts w:ascii="黑体" w:hAnsi="ˎ̥" w:eastAsia="黑体"/>
          <w:sz w:val="32"/>
          <w:szCs w:val="32"/>
        </w:rPr>
      </w:pPr>
      <w:bookmarkStart w:id="1" w:name="_Toc22941_WPSOffice_Level1"/>
      <w:bookmarkStart w:id="2" w:name="_Toc32433_WPSOffice_Level1"/>
      <w:bookmarkStart w:id="3" w:name="_Toc10049_WPSOffice_Level1"/>
      <w:bookmarkStart w:id="4" w:name="_Toc23465_WPSOffice_Level1"/>
      <w:bookmarkStart w:id="5" w:name="_Toc1704_WPSOffice_Level1"/>
      <w:bookmarkStart w:id="6" w:name="_Toc10720_WPSOffice_Level1"/>
      <w:bookmarkStart w:id="7" w:name="_Toc24238_WPSOffice_Level2"/>
      <w:bookmarkStart w:id="8" w:name="_Toc14159_WPSOffice_Level2"/>
      <w:bookmarkStart w:id="9" w:name="_Toc20274_WPSOffice_Level2"/>
      <w:bookmarkStart w:id="10" w:name="_Toc32622_WPSOffice_Level2"/>
      <w:bookmarkStart w:id="11" w:name="_Toc26580_WPSOffice_Level2"/>
      <w:bookmarkStart w:id="12" w:name="_Toc20205_WPSOffice_Level2"/>
    </w:p>
    <w:p>
      <w:pPr>
        <w:spacing w:line="590" w:lineRule="exact"/>
        <w:jc w:val="center"/>
        <w:rPr>
          <w:rFonts w:ascii="黑体" w:hAnsi="ˎ̥" w:eastAsia="黑体"/>
          <w:sz w:val="32"/>
          <w:szCs w:val="32"/>
        </w:rPr>
      </w:pPr>
    </w:p>
    <w:p>
      <w:pPr>
        <w:spacing w:line="590" w:lineRule="exact"/>
        <w:jc w:val="center"/>
        <w:rPr>
          <w:rFonts w:ascii="黑体" w:hAnsi="ˎ̥" w:eastAsia="黑体"/>
          <w:sz w:val="32"/>
          <w:szCs w:val="32"/>
        </w:rPr>
      </w:pPr>
    </w:p>
    <w:p>
      <w:pPr>
        <w:spacing w:line="590" w:lineRule="exact"/>
        <w:jc w:val="center"/>
        <w:rPr>
          <w:rFonts w:ascii="黑体" w:hAnsi="ˎ̥" w:eastAsia="黑体"/>
          <w:sz w:val="32"/>
          <w:szCs w:val="32"/>
        </w:rPr>
      </w:pPr>
    </w:p>
    <w:p>
      <w:pPr>
        <w:spacing w:line="590" w:lineRule="exact"/>
        <w:jc w:val="both"/>
        <w:rPr>
          <w:rFonts w:ascii="黑体" w:hAnsi="ˎ̥" w:eastAsia="黑体"/>
          <w:sz w:val="32"/>
          <w:szCs w:val="32"/>
        </w:rPr>
      </w:pPr>
    </w:p>
    <w:p>
      <w:pPr>
        <w:spacing w:line="590" w:lineRule="exact"/>
        <w:jc w:val="center"/>
        <w:rPr>
          <w:rFonts w:ascii="黑体" w:hAnsi="ˎ̥" w:eastAsia="黑体"/>
          <w:sz w:val="32"/>
          <w:szCs w:val="32"/>
        </w:rPr>
      </w:pPr>
    </w:p>
    <w:p>
      <w:pPr>
        <w:spacing w:line="590" w:lineRule="exact"/>
        <w:jc w:val="center"/>
        <w:rPr>
          <w:rFonts w:ascii="仿宋" w:hAnsi="仿宋" w:eastAsia="仿宋"/>
          <w:b/>
          <w:sz w:val="32"/>
          <w:szCs w:val="32"/>
        </w:rPr>
      </w:pPr>
      <w:r>
        <w:rPr>
          <w:rFonts w:hint="eastAsia" w:ascii="仿宋" w:hAnsi="仿宋" w:eastAsia="仿宋"/>
          <w:b/>
          <w:sz w:val="32"/>
          <w:szCs w:val="32"/>
        </w:rPr>
        <w:t>第一部分  海南省博物馆</w:t>
      </w:r>
      <w:r>
        <w:rPr>
          <w:rFonts w:hint="eastAsia" w:ascii="仿宋" w:hAnsi="仿宋" w:eastAsia="仿宋"/>
          <w:b/>
          <w:sz w:val="32"/>
          <w:szCs w:val="32"/>
          <w:lang w:val="en-US" w:eastAsia="zh-CN"/>
        </w:rPr>
        <w:t>单位</w:t>
      </w:r>
      <w:r>
        <w:rPr>
          <w:rFonts w:hint="eastAsia" w:ascii="仿宋" w:hAnsi="仿宋" w:eastAsia="仿宋"/>
          <w:b/>
          <w:sz w:val="32"/>
          <w:szCs w:val="32"/>
        </w:rPr>
        <w:t>概况</w:t>
      </w:r>
      <w:bookmarkEnd w:id="1"/>
      <w:bookmarkEnd w:id="2"/>
      <w:bookmarkEnd w:id="3"/>
      <w:bookmarkEnd w:id="4"/>
      <w:bookmarkEnd w:id="5"/>
      <w:bookmarkEnd w:id="6"/>
    </w:p>
    <w:p>
      <w:pPr>
        <w:spacing w:line="590" w:lineRule="exact"/>
        <w:ind w:firstLine="640" w:firstLineChars="200"/>
        <w:rPr>
          <w:rFonts w:ascii="仿宋" w:hAnsi="仿宋" w:eastAsia="仿宋" w:cs="楷体"/>
          <w:sz w:val="32"/>
          <w:szCs w:val="32"/>
        </w:rPr>
      </w:pPr>
    </w:p>
    <w:p>
      <w:pPr>
        <w:spacing w:line="590" w:lineRule="exact"/>
        <w:ind w:firstLine="643" w:firstLineChars="200"/>
        <w:jc w:val="both"/>
        <w:rPr>
          <w:rFonts w:ascii="仿宋" w:hAnsi="仿宋" w:eastAsia="仿宋" w:cs="黑体"/>
          <w:b/>
          <w:bCs/>
          <w:sz w:val="32"/>
          <w:szCs w:val="32"/>
        </w:rPr>
      </w:pPr>
      <w:r>
        <w:rPr>
          <w:rFonts w:hint="eastAsia" w:ascii="仿宋" w:hAnsi="仿宋" w:eastAsia="仿宋" w:cs="黑体"/>
          <w:b/>
          <w:bCs/>
          <w:sz w:val="32"/>
          <w:szCs w:val="32"/>
        </w:rPr>
        <w:t>一、</w:t>
      </w:r>
      <w:bookmarkEnd w:id="7"/>
      <w:r>
        <w:rPr>
          <w:rFonts w:hint="eastAsia" w:ascii="仿宋" w:hAnsi="仿宋" w:eastAsia="仿宋" w:cs="黑体"/>
          <w:b/>
          <w:bCs/>
          <w:sz w:val="32"/>
          <w:szCs w:val="32"/>
        </w:rPr>
        <w:t>单位职</w:t>
      </w:r>
      <w:bookmarkEnd w:id="8"/>
      <w:bookmarkEnd w:id="9"/>
      <w:bookmarkEnd w:id="10"/>
      <w:bookmarkEnd w:id="11"/>
      <w:bookmarkEnd w:id="12"/>
      <w:r>
        <w:rPr>
          <w:rFonts w:hint="eastAsia" w:ascii="仿宋" w:hAnsi="仿宋" w:eastAsia="仿宋" w:cs="黑体"/>
          <w:b/>
          <w:bCs/>
          <w:sz w:val="32"/>
          <w:szCs w:val="32"/>
        </w:rPr>
        <w:t>能</w:t>
      </w:r>
    </w:p>
    <w:p>
      <w:pPr>
        <w:spacing w:line="590" w:lineRule="exact"/>
        <w:ind w:right="120" w:rightChars="50" w:firstLine="640" w:firstLineChars="200"/>
        <w:jc w:val="both"/>
        <w:rPr>
          <w:rFonts w:ascii="仿宋" w:hAnsi="仿宋" w:eastAsia="仿宋"/>
          <w:sz w:val="32"/>
          <w:szCs w:val="32"/>
        </w:rPr>
      </w:pPr>
      <w:r>
        <w:rPr>
          <w:rFonts w:hint="eastAsia" w:ascii="仿宋" w:hAnsi="仿宋" w:eastAsia="仿宋"/>
          <w:sz w:val="32"/>
          <w:szCs w:val="32"/>
        </w:rPr>
        <w:t>（1）贯彻执行党和国家关于旅游和文化广电体育教育工作的方针政策、法律法规，以及中国（海南）自由贸易实验区和中国特色自由贸易港政策措施，落实省委、省政府有关决策部署。</w:t>
      </w:r>
    </w:p>
    <w:p>
      <w:pPr>
        <w:spacing w:line="590" w:lineRule="exact"/>
        <w:ind w:right="120" w:rightChars="50" w:firstLine="640" w:firstLineChars="200"/>
        <w:jc w:val="both"/>
        <w:rPr>
          <w:rFonts w:ascii="仿宋" w:hAnsi="仿宋" w:eastAsia="仿宋"/>
          <w:sz w:val="32"/>
          <w:szCs w:val="32"/>
        </w:rPr>
      </w:pPr>
      <w:r>
        <w:rPr>
          <w:rFonts w:hint="eastAsia" w:ascii="仿宋" w:hAnsi="仿宋" w:eastAsia="仿宋"/>
          <w:sz w:val="32"/>
          <w:szCs w:val="32"/>
        </w:rPr>
        <w:t>（2）负责收集、保藏、整理、展览文物标本和自然标本，开展相关研究，船舶社会历史、科学文化知识。</w:t>
      </w:r>
    </w:p>
    <w:p>
      <w:pPr>
        <w:spacing w:line="590" w:lineRule="exact"/>
        <w:ind w:right="120" w:rightChars="50" w:firstLine="640" w:firstLineChars="200"/>
        <w:jc w:val="both"/>
        <w:rPr>
          <w:rFonts w:ascii="仿宋" w:hAnsi="仿宋" w:eastAsia="仿宋"/>
          <w:sz w:val="32"/>
          <w:szCs w:val="32"/>
        </w:rPr>
      </w:pPr>
      <w:r>
        <w:rPr>
          <w:rFonts w:hint="eastAsia" w:ascii="仿宋" w:hAnsi="仿宋" w:eastAsia="仿宋"/>
          <w:sz w:val="32"/>
          <w:szCs w:val="32"/>
        </w:rPr>
        <w:t>（3）承担文物调查、考古发掘和文物保护工作。</w:t>
      </w:r>
    </w:p>
    <w:p>
      <w:pPr>
        <w:spacing w:line="590" w:lineRule="exact"/>
        <w:ind w:right="120" w:rightChars="50" w:firstLine="640" w:firstLineChars="200"/>
        <w:jc w:val="both"/>
        <w:rPr>
          <w:rFonts w:ascii="仿宋" w:hAnsi="仿宋" w:eastAsia="仿宋"/>
          <w:sz w:val="32"/>
          <w:szCs w:val="32"/>
        </w:rPr>
      </w:pPr>
      <w:r>
        <w:rPr>
          <w:rFonts w:hint="eastAsia" w:ascii="仿宋" w:hAnsi="仿宋" w:eastAsia="仿宋"/>
          <w:sz w:val="32"/>
          <w:szCs w:val="32"/>
        </w:rPr>
        <w:t>（4）承办上级主管部门交办的其他工作。</w:t>
      </w:r>
    </w:p>
    <w:p>
      <w:pPr>
        <w:spacing w:line="590" w:lineRule="exact"/>
        <w:ind w:right="120" w:rightChars="50" w:firstLine="800" w:firstLineChars="250"/>
        <w:jc w:val="both"/>
        <w:rPr>
          <w:rFonts w:ascii="仿宋" w:hAnsi="仿宋" w:eastAsia="仿宋"/>
          <w:sz w:val="32"/>
          <w:szCs w:val="32"/>
        </w:rPr>
      </w:pPr>
      <w:r>
        <w:rPr>
          <w:rFonts w:hint="eastAsia" w:ascii="仿宋" w:hAnsi="仿宋" w:eastAsia="仿宋"/>
          <w:sz w:val="32"/>
          <w:szCs w:val="32"/>
        </w:rPr>
        <w:t>(5) 在确保公益服务的前提下，可采取多种方式与社会力量开展合作，统筹文化创意产品管理、开发、研究与推广。</w:t>
      </w:r>
    </w:p>
    <w:p>
      <w:pPr>
        <w:spacing w:line="590" w:lineRule="exact"/>
        <w:ind w:firstLine="643" w:firstLineChars="200"/>
        <w:jc w:val="both"/>
        <w:rPr>
          <w:rFonts w:ascii="仿宋" w:hAnsi="仿宋" w:eastAsia="仿宋" w:cs="黑体"/>
          <w:b/>
          <w:bCs/>
          <w:sz w:val="32"/>
          <w:szCs w:val="32"/>
        </w:rPr>
      </w:pPr>
      <w:bookmarkStart w:id="13" w:name="_Toc6572_WPSOffice_Level2"/>
      <w:bookmarkStart w:id="14" w:name="_Toc4833_WPSOffice_Level2"/>
      <w:bookmarkStart w:id="15" w:name="_Toc24474_WPSOffice_Level2"/>
      <w:bookmarkStart w:id="16" w:name="_Toc17796_WPSOffice_Level2"/>
      <w:bookmarkStart w:id="17" w:name="_Toc24059_WPSOffice_Level2"/>
      <w:r>
        <w:rPr>
          <w:rFonts w:hint="eastAsia" w:ascii="仿宋" w:hAnsi="仿宋" w:eastAsia="仿宋" w:cs="黑体"/>
          <w:b/>
          <w:bCs/>
          <w:sz w:val="32"/>
          <w:szCs w:val="32"/>
        </w:rPr>
        <w:t>二、机构设置</w:t>
      </w:r>
      <w:bookmarkEnd w:id="13"/>
      <w:bookmarkEnd w:id="14"/>
      <w:bookmarkEnd w:id="15"/>
      <w:bookmarkEnd w:id="16"/>
      <w:bookmarkEnd w:id="17"/>
    </w:p>
    <w:p>
      <w:pPr>
        <w:spacing w:line="590" w:lineRule="exact"/>
        <w:jc w:val="both"/>
        <w:rPr>
          <w:rFonts w:ascii="仿宋" w:hAnsi="仿宋" w:eastAsia="仿宋" w:cs="仿宋"/>
          <w:sz w:val="32"/>
          <w:szCs w:val="32"/>
        </w:rPr>
      </w:pPr>
      <w:bookmarkStart w:id="18" w:name="_Toc28253_WPSOffice_Level1"/>
      <w:bookmarkStart w:id="19" w:name="_Toc15521_WPSOffice_Level1"/>
      <w:bookmarkStart w:id="20" w:name="_Toc30451_WPSOffice_Level1"/>
      <w:bookmarkStart w:id="21" w:name="_Toc30690_WPSOffice_Level1"/>
      <w:bookmarkStart w:id="22" w:name="_Toc8164_WPSOffice_Level1"/>
      <w:bookmarkStart w:id="23" w:name="_Toc6234_WPSOffice_Level1"/>
      <w:bookmarkStart w:id="24" w:name="_Toc8867_WPSOffice_Level2"/>
      <w:bookmarkStart w:id="25" w:name="_Toc32695_WPSOffice_Level2"/>
      <w:bookmarkStart w:id="26" w:name="_Toc6211_WPSOffice_Level2"/>
      <w:bookmarkStart w:id="27" w:name="_Toc11518_WPSOffice_Level2"/>
      <w:bookmarkStart w:id="28" w:name="_Toc4029_WPSOffice_Level2"/>
      <w:bookmarkStart w:id="29" w:name="_Toc32472_WPSOffice_Level2"/>
      <w:r>
        <w:rPr>
          <w:rFonts w:hint="eastAsia" w:ascii="仿宋" w:hAnsi="仿宋" w:eastAsia="仿宋" w:cs="仿宋"/>
          <w:sz w:val="32"/>
          <w:szCs w:val="32"/>
        </w:rPr>
        <w:t xml:space="preserve">   单位内设机构为10个部室，包括办公室、藏品保管部、陈列部、公共服务部、安全监管部、藏品征集部、文物保护与修复部、文物考古工作队、文创中心、图书资料部。</w:t>
      </w:r>
    </w:p>
    <w:p>
      <w:pPr>
        <w:spacing w:line="590" w:lineRule="exact"/>
        <w:ind w:firstLine="800" w:firstLineChars="250"/>
        <w:rPr>
          <w:rFonts w:ascii="仿宋" w:hAnsi="仿宋" w:eastAsia="仿宋" w:cs="仿宋"/>
          <w:sz w:val="32"/>
          <w:szCs w:val="32"/>
        </w:rPr>
      </w:pPr>
    </w:p>
    <w:p>
      <w:pPr>
        <w:spacing w:line="590" w:lineRule="exact"/>
        <w:ind w:firstLine="800" w:firstLineChars="250"/>
        <w:rPr>
          <w:rFonts w:ascii="仿宋" w:hAnsi="仿宋" w:eastAsia="仿宋" w:cs="仿宋"/>
          <w:sz w:val="32"/>
          <w:szCs w:val="32"/>
        </w:rPr>
      </w:pPr>
    </w:p>
    <w:p>
      <w:pPr>
        <w:spacing w:line="590" w:lineRule="exact"/>
        <w:ind w:firstLine="640" w:firstLineChars="200"/>
        <w:jc w:val="both"/>
        <w:rPr>
          <w:rFonts w:ascii="仿宋" w:hAnsi="仿宋" w:eastAsia="仿宋" w:cs="仿宋"/>
          <w:sz w:val="32"/>
          <w:szCs w:val="32"/>
        </w:rPr>
      </w:pPr>
    </w:p>
    <w:p>
      <w:pPr>
        <w:spacing w:line="590" w:lineRule="exact"/>
        <w:ind w:firstLine="640" w:firstLineChars="200"/>
        <w:jc w:val="both"/>
        <w:rPr>
          <w:rFonts w:ascii="仿宋" w:hAnsi="仿宋" w:eastAsia="仿宋" w:cs="仿宋"/>
          <w:sz w:val="32"/>
          <w:szCs w:val="32"/>
        </w:rPr>
      </w:pPr>
    </w:p>
    <w:p>
      <w:pPr>
        <w:spacing w:line="590" w:lineRule="exact"/>
        <w:ind w:firstLine="640" w:firstLineChars="200"/>
        <w:jc w:val="both"/>
        <w:rPr>
          <w:rFonts w:ascii="仿宋" w:hAnsi="仿宋" w:eastAsia="仿宋" w:cs="仿宋"/>
          <w:sz w:val="32"/>
          <w:szCs w:val="32"/>
        </w:rPr>
      </w:pPr>
    </w:p>
    <w:p>
      <w:pPr>
        <w:spacing w:line="590" w:lineRule="exact"/>
        <w:ind w:firstLine="643" w:firstLineChars="200"/>
        <w:jc w:val="both"/>
        <w:rPr>
          <w:rFonts w:ascii="仿宋" w:hAnsi="仿宋" w:eastAsia="仿宋"/>
          <w:b/>
          <w:sz w:val="32"/>
          <w:szCs w:val="32"/>
        </w:rPr>
      </w:pPr>
      <w:r>
        <w:rPr>
          <w:rFonts w:hint="eastAsia" w:ascii="仿宋" w:hAnsi="仿宋" w:eastAsia="仿宋"/>
          <w:b/>
          <w:sz w:val="32"/>
          <w:szCs w:val="32"/>
        </w:rPr>
        <w:t>第二部分  海南省博物馆2020年度单位决算公开报表</w:t>
      </w:r>
      <w:bookmarkEnd w:id="18"/>
      <w:bookmarkEnd w:id="19"/>
      <w:bookmarkEnd w:id="20"/>
      <w:bookmarkEnd w:id="21"/>
      <w:bookmarkEnd w:id="22"/>
      <w:bookmarkEnd w:id="23"/>
    </w:p>
    <w:p>
      <w:pPr>
        <w:spacing w:line="590" w:lineRule="exact"/>
        <w:ind w:left="782"/>
        <w:jc w:val="both"/>
        <w:rPr>
          <w:rFonts w:ascii="仿宋" w:hAnsi="仿宋" w:eastAsia="仿宋"/>
          <w:b/>
          <w:sz w:val="32"/>
          <w:szCs w:val="32"/>
        </w:rPr>
      </w:pPr>
    </w:p>
    <w:p>
      <w:pPr>
        <w:spacing w:line="590" w:lineRule="exact"/>
        <w:ind w:firstLine="640" w:firstLineChars="200"/>
        <w:rPr>
          <w:rFonts w:ascii="仿宋" w:hAnsi="仿宋" w:eastAsia="仿宋" w:cs="黑体"/>
          <w:sz w:val="32"/>
          <w:szCs w:val="32"/>
        </w:rPr>
      </w:pPr>
      <w:r>
        <w:rPr>
          <w:rFonts w:hint="eastAsia" w:ascii="仿宋" w:hAnsi="仿宋" w:eastAsia="仿宋" w:cs="黑体"/>
          <w:sz w:val="32"/>
          <w:szCs w:val="32"/>
        </w:rPr>
        <w:t>一、收入支出决算公开表（见正文附件）</w:t>
      </w:r>
      <w:bookmarkEnd w:id="24"/>
      <w:bookmarkEnd w:id="25"/>
      <w:bookmarkEnd w:id="26"/>
      <w:r>
        <w:rPr>
          <w:rFonts w:hint="eastAsia" w:ascii="仿宋" w:hAnsi="仿宋" w:eastAsia="仿宋" w:cs="黑体"/>
          <w:sz w:val="32"/>
          <w:szCs w:val="32"/>
        </w:rPr>
        <w:t>。</w:t>
      </w:r>
      <w:bookmarkEnd w:id="27"/>
      <w:bookmarkEnd w:id="28"/>
      <w:bookmarkEnd w:id="29"/>
    </w:p>
    <w:p>
      <w:pPr>
        <w:spacing w:line="590" w:lineRule="exact"/>
        <w:ind w:firstLine="645"/>
        <w:rPr>
          <w:rFonts w:ascii="仿宋" w:hAnsi="仿宋" w:eastAsia="仿宋" w:cs="黑体"/>
          <w:sz w:val="32"/>
          <w:szCs w:val="32"/>
        </w:rPr>
      </w:pPr>
      <w:bookmarkStart w:id="30" w:name="_Toc25608_WPSOffice_Level2"/>
      <w:bookmarkStart w:id="31" w:name="_Toc23139_WPSOffice_Level2"/>
      <w:bookmarkStart w:id="32" w:name="_Toc26621_WPSOffice_Level2"/>
      <w:bookmarkStart w:id="33" w:name="_Toc30334_WPSOffice_Level2"/>
      <w:bookmarkStart w:id="34" w:name="_Toc14349_WPSOffice_Level2"/>
      <w:bookmarkStart w:id="35" w:name="_Toc28622_WPSOffice_Level2"/>
      <w:r>
        <w:rPr>
          <w:rFonts w:hint="eastAsia" w:ascii="仿宋" w:hAnsi="仿宋" w:eastAsia="仿宋" w:cs="黑体"/>
          <w:sz w:val="32"/>
          <w:szCs w:val="32"/>
        </w:rPr>
        <w:t>二、收入决算公开表（见正文附件）</w:t>
      </w:r>
      <w:bookmarkEnd w:id="30"/>
      <w:bookmarkEnd w:id="31"/>
      <w:bookmarkEnd w:id="32"/>
      <w:r>
        <w:rPr>
          <w:rFonts w:hint="eastAsia" w:ascii="仿宋" w:hAnsi="仿宋" w:eastAsia="仿宋" w:cs="黑体"/>
          <w:sz w:val="32"/>
          <w:szCs w:val="32"/>
        </w:rPr>
        <w:t>。</w:t>
      </w:r>
      <w:bookmarkEnd w:id="33"/>
      <w:bookmarkEnd w:id="34"/>
      <w:bookmarkEnd w:id="35"/>
    </w:p>
    <w:p>
      <w:pPr>
        <w:spacing w:line="590" w:lineRule="exact"/>
        <w:ind w:firstLine="645"/>
        <w:rPr>
          <w:rFonts w:ascii="仿宋" w:hAnsi="仿宋" w:eastAsia="仿宋" w:cs="黑体"/>
          <w:sz w:val="32"/>
          <w:szCs w:val="32"/>
        </w:rPr>
      </w:pPr>
      <w:bookmarkStart w:id="36" w:name="_Toc3262_WPSOffice_Level2"/>
      <w:bookmarkStart w:id="37" w:name="_Toc17626_WPSOffice_Level2"/>
      <w:bookmarkStart w:id="38" w:name="_Toc17858_WPSOffice_Level2"/>
      <w:bookmarkStart w:id="39" w:name="_Toc13854_WPSOffice_Level2"/>
      <w:bookmarkStart w:id="40" w:name="_Toc14658_WPSOffice_Level2"/>
      <w:bookmarkStart w:id="41" w:name="_Toc5489_WPSOffice_Level2"/>
      <w:r>
        <w:rPr>
          <w:rFonts w:hint="eastAsia" w:ascii="仿宋" w:hAnsi="仿宋" w:eastAsia="仿宋" w:cs="黑体"/>
          <w:sz w:val="32"/>
          <w:szCs w:val="32"/>
        </w:rPr>
        <w:t>三、支出决算公开表（见正文附件）</w:t>
      </w:r>
      <w:bookmarkEnd w:id="36"/>
      <w:bookmarkEnd w:id="37"/>
      <w:bookmarkEnd w:id="38"/>
      <w:r>
        <w:rPr>
          <w:rFonts w:hint="eastAsia" w:ascii="仿宋" w:hAnsi="仿宋" w:eastAsia="仿宋" w:cs="黑体"/>
          <w:sz w:val="32"/>
          <w:szCs w:val="32"/>
        </w:rPr>
        <w:t>。</w:t>
      </w:r>
      <w:bookmarkEnd w:id="39"/>
      <w:bookmarkEnd w:id="40"/>
      <w:bookmarkEnd w:id="41"/>
    </w:p>
    <w:p>
      <w:pPr>
        <w:spacing w:line="590" w:lineRule="exact"/>
        <w:ind w:firstLine="645"/>
        <w:rPr>
          <w:rFonts w:ascii="仿宋" w:hAnsi="仿宋" w:eastAsia="仿宋" w:cs="黑体"/>
          <w:sz w:val="32"/>
          <w:szCs w:val="32"/>
        </w:rPr>
      </w:pPr>
      <w:bookmarkStart w:id="42" w:name="_Toc21415_WPSOffice_Level2"/>
      <w:bookmarkStart w:id="43" w:name="_Toc23591_WPSOffice_Level2"/>
      <w:bookmarkStart w:id="44" w:name="_Toc13701_WPSOffice_Level2"/>
      <w:bookmarkStart w:id="45" w:name="_Toc7988_WPSOffice_Level2"/>
      <w:bookmarkStart w:id="46" w:name="_Toc4265_WPSOffice_Level2"/>
      <w:bookmarkStart w:id="47" w:name="_Toc23493_WPSOffice_Level2"/>
      <w:r>
        <w:rPr>
          <w:rFonts w:hint="eastAsia" w:ascii="仿宋" w:hAnsi="仿宋" w:eastAsia="仿宋" w:cs="黑体"/>
          <w:sz w:val="32"/>
          <w:szCs w:val="32"/>
        </w:rPr>
        <w:t>四、财政拨款收入支出决算公开表（见正文附件）</w:t>
      </w:r>
      <w:bookmarkEnd w:id="42"/>
      <w:bookmarkEnd w:id="43"/>
      <w:bookmarkEnd w:id="44"/>
      <w:r>
        <w:rPr>
          <w:rFonts w:hint="eastAsia" w:ascii="仿宋" w:hAnsi="仿宋" w:eastAsia="仿宋" w:cs="黑体"/>
          <w:sz w:val="32"/>
          <w:szCs w:val="32"/>
        </w:rPr>
        <w:t>。</w:t>
      </w:r>
      <w:bookmarkEnd w:id="45"/>
      <w:bookmarkEnd w:id="46"/>
      <w:bookmarkEnd w:id="47"/>
    </w:p>
    <w:p>
      <w:pPr>
        <w:spacing w:line="590" w:lineRule="exact"/>
        <w:ind w:firstLine="645"/>
        <w:rPr>
          <w:rFonts w:ascii="仿宋" w:hAnsi="仿宋" w:eastAsia="仿宋" w:cs="黑体"/>
          <w:sz w:val="32"/>
          <w:szCs w:val="32"/>
        </w:rPr>
      </w:pPr>
      <w:bookmarkStart w:id="48" w:name="_Toc22783_WPSOffice_Level2"/>
      <w:bookmarkStart w:id="49" w:name="_Toc7879_WPSOffice_Level2"/>
      <w:bookmarkStart w:id="50" w:name="_Toc23829_WPSOffice_Level2"/>
      <w:bookmarkStart w:id="51" w:name="_Toc25166_WPSOffice_Level2"/>
      <w:bookmarkStart w:id="52" w:name="_Toc13516_WPSOffice_Level2"/>
      <w:bookmarkStart w:id="53" w:name="_Toc2158_WPSOffice_Level2"/>
      <w:r>
        <w:rPr>
          <w:rFonts w:hint="eastAsia" w:ascii="仿宋" w:hAnsi="仿宋" w:eastAsia="仿宋" w:cs="黑体"/>
          <w:sz w:val="32"/>
          <w:szCs w:val="32"/>
        </w:rPr>
        <w:t>五、一般公共预算财政拨款收入支出决算</w:t>
      </w:r>
      <w:bookmarkEnd w:id="48"/>
      <w:bookmarkEnd w:id="49"/>
      <w:bookmarkEnd w:id="50"/>
      <w:bookmarkEnd w:id="51"/>
      <w:r>
        <w:rPr>
          <w:rFonts w:hint="eastAsia" w:ascii="仿宋" w:hAnsi="仿宋" w:eastAsia="仿宋" w:cs="黑体"/>
          <w:sz w:val="32"/>
          <w:szCs w:val="32"/>
        </w:rPr>
        <w:t>公开表</w:t>
      </w:r>
    </w:p>
    <w:p>
      <w:pPr>
        <w:spacing w:line="590" w:lineRule="exact"/>
        <w:ind w:firstLine="1302" w:firstLineChars="407"/>
        <w:rPr>
          <w:rFonts w:ascii="仿宋" w:hAnsi="仿宋" w:eastAsia="仿宋" w:cs="黑体"/>
          <w:sz w:val="32"/>
          <w:szCs w:val="32"/>
        </w:rPr>
      </w:pPr>
      <w:r>
        <w:rPr>
          <w:rFonts w:hint="eastAsia" w:ascii="仿宋" w:hAnsi="仿宋" w:eastAsia="仿宋" w:cs="黑体"/>
          <w:sz w:val="32"/>
          <w:szCs w:val="32"/>
        </w:rPr>
        <w:t>（见正文附件）</w:t>
      </w:r>
      <w:bookmarkEnd w:id="52"/>
      <w:bookmarkEnd w:id="53"/>
      <w:r>
        <w:rPr>
          <w:rFonts w:hint="eastAsia" w:ascii="仿宋" w:hAnsi="仿宋" w:eastAsia="仿宋" w:cs="黑体"/>
          <w:sz w:val="32"/>
          <w:szCs w:val="32"/>
        </w:rPr>
        <w:t>。</w:t>
      </w:r>
    </w:p>
    <w:p>
      <w:pPr>
        <w:spacing w:line="590" w:lineRule="exact"/>
        <w:ind w:firstLine="645"/>
        <w:rPr>
          <w:rFonts w:ascii="仿宋" w:hAnsi="仿宋" w:eastAsia="仿宋" w:cs="黑体"/>
          <w:sz w:val="32"/>
          <w:szCs w:val="32"/>
        </w:rPr>
      </w:pPr>
      <w:bookmarkStart w:id="54" w:name="_Toc17833_WPSOffice_Level2"/>
      <w:bookmarkStart w:id="55" w:name="_Toc5343_WPSOffice_Level2"/>
      <w:bookmarkStart w:id="56" w:name="_Toc2632_WPSOffice_Level2"/>
      <w:bookmarkStart w:id="57" w:name="_Toc17283_WPSOffice_Level2"/>
      <w:bookmarkStart w:id="58" w:name="_Toc25362_WPSOffice_Level2"/>
      <w:bookmarkStart w:id="59" w:name="_Toc8373_WPSOffice_Level2"/>
      <w:r>
        <w:rPr>
          <w:rFonts w:hint="eastAsia" w:ascii="仿宋" w:hAnsi="仿宋" w:eastAsia="仿宋" w:cs="黑体"/>
          <w:sz w:val="32"/>
          <w:szCs w:val="32"/>
        </w:rPr>
        <w:t>六、一般公共预算财政拨款基本支出决算</w:t>
      </w:r>
      <w:bookmarkEnd w:id="54"/>
      <w:bookmarkEnd w:id="55"/>
      <w:bookmarkEnd w:id="56"/>
      <w:bookmarkEnd w:id="57"/>
      <w:bookmarkEnd w:id="58"/>
      <w:bookmarkEnd w:id="59"/>
      <w:r>
        <w:rPr>
          <w:rFonts w:hint="eastAsia" w:ascii="仿宋" w:hAnsi="仿宋" w:eastAsia="仿宋" w:cs="黑体"/>
          <w:sz w:val="32"/>
          <w:szCs w:val="32"/>
        </w:rPr>
        <w:t>公开表</w:t>
      </w:r>
    </w:p>
    <w:p>
      <w:pPr>
        <w:spacing w:line="590" w:lineRule="exact"/>
        <w:ind w:firstLine="1280" w:firstLineChars="400"/>
        <w:rPr>
          <w:rFonts w:ascii="仿宋" w:hAnsi="仿宋" w:eastAsia="仿宋" w:cs="黑体"/>
          <w:sz w:val="32"/>
          <w:szCs w:val="32"/>
        </w:rPr>
      </w:pPr>
      <w:r>
        <w:rPr>
          <w:rFonts w:hint="eastAsia" w:ascii="仿宋" w:hAnsi="仿宋" w:eastAsia="仿宋" w:cs="黑体"/>
          <w:sz w:val="32"/>
          <w:szCs w:val="32"/>
        </w:rPr>
        <w:t>（见正文附件）。</w:t>
      </w:r>
    </w:p>
    <w:p>
      <w:pPr>
        <w:spacing w:line="590" w:lineRule="exact"/>
        <w:ind w:left="1210" w:leftChars="304" w:hanging="480" w:hangingChars="150"/>
        <w:rPr>
          <w:rFonts w:ascii="仿宋" w:hAnsi="仿宋" w:eastAsia="仿宋" w:cs="黑体"/>
          <w:sz w:val="32"/>
          <w:szCs w:val="32"/>
        </w:rPr>
      </w:pPr>
      <w:bookmarkStart w:id="60" w:name="_Toc6020_WPSOffice_Level2"/>
      <w:bookmarkStart w:id="61" w:name="_Toc21310_WPSOffice_Level2"/>
      <w:bookmarkStart w:id="62" w:name="_Toc13345_WPSOffice_Level2"/>
      <w:bookmarkStart w:id="63" w:name="_Toc11799_WPSOffice_Level2"/>
      <w:bookmarkStart w:id="64" w:name="_Toc1533_WPSOffice_Level2"/>
      <w:bookmarkStart w:id="65" w:name="_Toc5594_WPSOffice_Level2"/>
      <w:r>
        <w:rPr>
          <w:rFonts w:hint="eastAsia" w:ascii="仿宋" w:hAnsi="仿宋" w:eastAsia="仿宋" w:cs="黑体"/>
          <w:sz w:val="32"/>
          <w:szCs w:val="32"/>
        </w:rPr>
        <w:t>七、政府性基金预算财政拨款收入支出决算</w:t>
      </w:r>
      <w:bookmarkEnd w:id="60"/>
      <w:bookmarkEnd w:id="61"/>
      <w:bookmarkEnd w:id="62"/>
      <w:bookmarkEnd w:id="63"/>
      <w:bookmarkEnd w:id="64"/>
      <w:bookmarkEnd w:id="65"/>
      <w:r>
        <w:rPr>
          <w:rFonts w:hint="eastAsia" w:ascii="仿宋" w:hAnsi="仿宋" w:eastAsia="仿宋" w:cs="黑体"/>
          <w:sz w:val="32"/>
          <w:szCs w:val="32"/>
        </w:rPr>
        <w:t>公开表</w:t>
      </w:r>
    </w:p>
    <w:p>
      <w:pPr>
        <w:spacing w:line="590" w:lineRule="exact"/>
        <w:ind w:left="1459" w:leftChars="608" w:firstLine="160" w:firstLineChars="50"/>
        <w:rPr>
          <w:rFonts w:ascii="仿宋" w:hAnsi="仿宋" w:eastAsia="仿宋" w:cs="黑体"/>
          <w:sz w:val="32"/>
          <w:szCs w:val="32"/>
        </w:rPr>
      </w:pPr>
      <w:r>
        <w:rPr>
          <w:rFonts w:hint="eastAsia" w:ascii="仿宋" w:hAnsi="仿宋" w:eastAsia="仿宋" w:cs="黑体"/>
          <w:sz w:val="32"/>
          <w:szCs w:val="32"/>
        </w:rPr>
        <w:t>（见正文附件）。</w:t>
      </w:r>
    </w:p>
    <w:p>
      <w:pPr>
        <w:spacing w:line="590" w:lineRule="exact"/>
        <w:ind w:left="1210" w:leftChars="304" w:hanging="480" w:hangingChars="150"/>
        <w:rPr>
          <w:rFonts w:ascii="仿宋" w:hAnsi="仿宋" w:eastAsia="仿宋" w:cs="黑体"/>
          <w:sz w:val="32"/>
          <w:szCs w:val="32"/>
        </w:rPr>
      </w:pPr>
      <w:r>
        <w:rPr>
          <w:rFonts w:hint="eastAsia" w:ascii="仿宋" w:hAnsi="仿宋" w:eastAsia="仿宋" w:cs="黑体"/>
          <w:sz w:val="32"/>
          <w:szCs w:val="32"/>
        </w:rPr>
        <w:t>八、国有资本经营预算财政拨款收入支出决算公开表</w:t>
      </w:r>
    </w:p>
    <w:p>
      <w:pPr>
        <w:spacing w:line="590" w:lineRule="exact"/>
        <w:ind w:left="1459" w:leftChars="608" w:firstLine="160" w:firstLineChars="50"/>
        <w:rPr>
          <w:rFonts w:ascii="仿宋" w:hAnsi="仿宋" w:eastAsia="仿宋" w:cs="黑体"/>
          <w:sz w:val="32"/>
          <w:szCs w:val="32"/>
        </w:rPr>
      </w:pPr>
      <w:r>
        <w:rPr>
          <w:rFonts w:hint="eastAsia" w:ascii="仿宋" w:hAnsi="仿宋" w:eastAsia="仿宋" w:cs="黑体"/>
          <w:sz w:val="32"/>
          <w:szCs w:val="32"/>
        </w:rPr>
        <w:t>（见正文附件）。</w:t>
      </w:r>
    </w:p>
    <w:p>
      <w:pPr>
        <w:spacing w:line="590" w:lineRule="exact"/>
        <w:rPr>
          <w:rFonts w:ascii="仿宋" w:hAnsi="仿宋" w:eastAsia="仿宋" w:cs="黑体"/>
          <w:sz w:val="32"/>
          <w:szCs w:val="32"/>
        </w:rPr>
      </w:pPr>
      <w:bookmarkStart w:id="66" w:name="_Toc1820_WPSOffice_Level2"/>
      <w:bookmarkStart w:id="67" w:name="_Toc9377_WPSOffice_Level2"/>
      <w:bookmarkStart w:id="68" w:name="_Toc29886_WPSOffice_Level2"/>
      <w:bookmarkStart w:id="69" w:name="_Toc19961_WPSOffice_Level2"/>
      <w:r>
        <w:rPr>
          <w:rFonts w:hint="eastAsia" w:ascii="仿宋" w:hAnsi="仿宋" w:eastAsia="仿宋" w:cs="黑体"/>
          <w:sz w:val="32"/>
          <w:szCs w:val="32"/>
        </w:rPr>
        <w:t xml:space="preserve">    九、一般公共预算财政拨款“三公”经费支出决算</w:t>
      </w:r>
    </w:p>
    <w:bookmarkEnd w:id="66"/>
    <w:bookmarkEnd w:id="67"/>
    <w:bookmarkEnd w:id="68"/>
    <w:bookmarkEnd w:id="69"/>
    <w:p>
      <w:pPr>
        <w:spacing w:line="590" w:lineRule="exact"/>
        <w:rPr>
          <w:rFonts w:ascii="仿宋" w:hAnsi="仿宋" w:eastAsia="仿宋" w:cs="黑体"/>
          <w:sz w:val="32"/>
          <w:szCs w:val="32"/>
        </w:rPr>
      </w:pPr>
      <w:r>
        <w:rPr>
          <w:rFonts w:hint="eastAsia" w:ascii="仿宋" w:hAnsi="仿宋" w:eastAsia="仿宋" w:cs="黑体"/>
          <w:sz w:val="32"/>
          <w:szCs w:val="32"/>
        </w:rPr>
        <w:t>公开表（见正文附件）。</w:t>
      </w:r>
    </w:p>
    <w:p>
      <w:pPr>
        <w:spacing w:line="590" w:lineRule="exact"/>
        <w:rPr>
          <w:rFonts w:ascii="仿宋" w:hAnsi="仿宋" w:eastAsia="仿宋" w:cs="黑体"/>
          <w:sz w:val="32"/>
          <w:szCs w:val="32"/>
        </w:rPr>
      </w:pPr>
      <w:r>
        <w:rPr>
          <w:rFonts w:hint="eastAsia" w:ascii="仿宋" w:hAnsi="仿宋" w:eastAsia="仿宋" w:cs="黑体"/>
          <w:sz w:val="32"/>
          <w:szCs w:val="32"/>
        </w:rPr>
        <w:t xml:space="preserve">    十、政府性基金预算财政拨款“三公”经费支出决算</w:t>
      </w:r>
    </w:p>
    <w:p>
      <w:pPr>
        <w:spacing w:line="590" w:lineRule="exact"/>
        <w:rPr>
          <w:rFonts w:ascii="仿宋" w:hAnsi="仿宋" w:eastAsia="仿宋" w:cs="黑体"/>
          <w:sz w:val="32"/>
          <w:szCs w:val="32"/>
        </w:rPr>
      </w:pPr>
      <w:r>
        <w:rPr>
          <w:rFonts w:hint="eastAsia" w:ascii="仿宋" w:hAnsi="仿宋" w:eastAsia="仿宋" w:cs="黑体"/>
          <w:sz w:val="32"/>
          <w:szCs w:val="32"/>
        </w:rPr>
        <w:t xml:space="preserve">          公开表（见正文附件）。</w:t>
      </w:r>
    </w:p>
    <w:p>
      <w:pPr>
        <w:spacing w:line="590" w:lineRule="exact"/>
        <w:ind w:left="1920" w:hanging="1920" w:hangingChars="600"/>
        <w:jc w:val="both"/>
        <w:rPr>
          <w:rFonts w:ascii="仿宋" w:hAnsi="仿宋" w:eastAsia="仿宋" w:cs="黑体"/>
          <w:sz w:val="32"/>
          <w:szCs w:val="32"/>
        </w:rPr>
      </w:pPr>
      <w:r>
        <w:rPr>
          <w:rFonts w:hint="eastAsia" w:ascii="仿宋" w:hAnsi="仿宋" w:eastAsia="仿宋" w:cs="黑体"/>
          <w:sz w:val="32"/>
          <w:szCs w:val="32"/>
        </w:rPr>
        <w:t xml:space="preserve">    十一、国有资本经营预算财政拨款“三公”经费支出决算公开表（见正文附件）。</w:t>
      </w:r>
    </w:p>
    <w:p>
      <w:pPr>
        <w:spacing w:line="590" w:lineRule="exact"/>
        <w:rPr>
          <w:rFonts w:ascii="仿宋" w:hAnsi="仿宋" w:eastAsia="仿宋" w:cs="黑体"/>
          <w:sz w:val="32"/>
          <w:szCs w:val="32"/>
        </w:rPr>
      </w:pPr>
    </w:p>
    <w:p>
      <w:pPr>
        <w:spacing w:line="590" w:lineRule="exact"/>
        <w:rPr>
          <w:rFonts w:ascii="仿宋" w:hAnsi="仿宋" w:eastAsia="仿宋" w:cs="黑体"/>
          <w:sz w:val="32"/>
          <w:szCs w:val="32"/>
        </w:rPr>
      </w:pPr>
    </w:p>
    <w:p>
      <w:pPr>
        <w:spacing w:line="590" w:lineRule="exact"/>
        <w:rPr>
          <w:rFonts w:ascii="仿宋" w:hAnsi="仿宋" w:eastAsia="仿宋" w:cs="黑体"/>
          <w:sz w:val="32"/>
          <w:szCs w:val="32"/>
        </w:rPr>
      </w:pPr>
    </w:p>
    <w:p>
      <w:pPr>
        <w:spacing w:line="590" w:lineRule="exact"/>
        <w:jc w:val="center"/>
        <w:rPr>
          <w:rFonts w:ascii="仿宋" w:hAnsi="仿宋" w:eastAsia="仿宋"/>
          <w:b/>
          <w:sz w:val="32"/>
          <w:szCs w:val="32"/>
        </w:rPr>
      </w:pPr>
      <w:bookmarkStart w:id="70" w:name="_Toc4402_WPSOffice_Level1"/>
      <w:bookmarkStart w:id="71" w:name="_Toc16686_WPSOffice_Level1"/>
      <w:bookmarkStart w:id="72" w:name="_Toc31264_WPSOffice_Level1"/>
      <w:bookmarkStart w:id="73" w:name="_Toc28629_WPSOffice_Level1"/>
      <w:bookmarkStart w:id="74" w:name="_Toc27590_WPSOffice_Level1"/>
      <w:bookmarkStart w:id="75" w:name="_Toc29683_WPSOffice_Level1"/>
      <w:r>
        <w:rPr>
          <w:rFonts w:hint="eastAsia" w:ascii="仿宋" w:hAnsi="仿宋" w:eastAsia="仿宋"/>
          <w:b/>
          <w:sz w:val="32"/>
          <w:szCs w:val="32"/>
        </w:rPr>
        <w:t>第三部分  海南省博物馆2020年度单位决算情况说明</w:t>
      </w:r>
      <w:bookmarkEnd w:id="70"/>
      <w:bookmarkEnd w:id="71"/>
      <w:bookmarkEnd w:id="72"/>
      <w:bookmarkEnd w:id="73"/>
      <w:bookmarkEnd w:id="74"/>
      <w:bookmarkEnd w:id="75"/>
    </w:p>
    <w:p>
      <w:pPr>
        <w:spacing w:line="590" w:lineRule="exact"/>
        <w:rPr>
          <w:rFonts w:ascii="仿宋" w:hAnsi="仿宋" w:eastAsia="仿宋" w:cs="黑体"/>
          <w:bCs/>
          <w:sz w:val="32"/>
          <w:szCs w:val="32"/>
        </w:rPr>
      </w:pPr>
    </w:p>
    <w:p>
      <w:pPr>
        <w:spacing w:line="590" w:lineRule="exact"/>
        <w:ind w:firstLine="643" w:firstLineChars="200"/>
        <w:rPr>
          <w:rFonts w:ascii="仿宋" w:hAnsi="仿宋" w:eastAsia="仿宋" w:cs="黑体"/>
          <w:b/>
          <w:sz w:val="32"/>
          <w:szCs w:val="32"/>
        </w:rPr>
      </w:pPr>
      <w:r>
        <w:rPr>
          <w:rFonts w:hint="eastAsia" w:ascii="仿宋" w:hAnsi="仿宋" w:eastAsia="仿宋" w:cs="黑体"/>
          <w:b/>
          <w:sz w:val="32"/>
          <w:szCs w:val="32"/>
        </w:rPr>
        <w:t>一、收入支出决算总体情况说明</w:t>
      </w:r>
    </w:p>
    <w:p>
      <w:pPr>
        <w:spacing w:line="590" w:lineRule="exact"/>
        <w:ind w:firstLine="640" w:firstLineChars="200"/>
        <w:jc w:val="both"/>
        <w:rPr>
          <w:rFonts w:ascii="仿宋" w:hAnsi="仿宋" w:eastAsia="仿宋"/>
          <w:color w:val="FF0000"/>
          <w:sz w:val="32"/>
          <w:szCs w:val="32"/>
        </w:rPr>
      </w:pPr>
      <w:r>
        <w:rPr>
          <w:rFonts w:hint="eastAsia" w:ascii="仿宋" w:hAnsi="仿宋" w:eastAsia="仿宋"/>
          <w:sz w:val="32"/>
          <w:szCs w:val="32"/>
        </w:rPr>
        <w:t>2020年度收、支总计6,813.03万元，与2019年度相比，收入、支出总计各减少2,165.21万元，下降24.1%。主要原因</w:t>
      </w:r>
      <w:r>
        <w:rPr>
          <w:rFonts w:hint="eastAsia" w:ascii="仿宋" w:hAnsi="仿宋" w:eastAsia="仿宋"/>
          <w:sz w:val="32"/>
          <w:szCs w:val="32"/>
          <w:lang w:val="en-US" w:eastAsia="zh-CN"/>
        </w:rPr>
        <w:t>是</w:t>
      </w:r>
      <w:r>
        <w:rPr>
          <w:rFonts w:hint="eastAsia" w:ascii="仿宋" w:hAnsi="仿宋" w:eastAsia="仿宋"/>
          <w:sz w:val="32"/>
          <w:szCs w:val="32"/>
        </w:rPr>
        <w:t>旅游和文化广电体育事业专项资金等项目经费减少。使用非财政拨款结余0.16万元，较2019年度决算数增长100%。主要原因是2019年未产生非财政拨款结余。年初结转结余639.77万元，主要是项目支出结转，较2019年度决算数增加223.7万元，增长53.8%，主要原因是项目尚未完成，项目资金结转至下年度。结余分配0.11万元，主要是事业单位转入非财政拨款结余，较2019年度决算数增加0.11万元，增长100%，主要原因是2019年未产生结余分配。年末结转结余765.57万元，主要是重点产业发展专项资金等项目支出结转，较2019年度决算数增加118.93万元，增长18.4%，主要原因是项目尚未完成，项目资金结转下年度。</w:t>
      </w:r>
    </w:p>
    <w:p>
      <w:pPr>
        <w:spacing w:line="590" w:lineRule="exact"/>
        <w:ind w:firstLine="630" w:firstLineChars="196"/>
        <w:jc w:val="both"/>
        <w:rPr>
          <w:rFonts w:ascii="仿宋" w:hAnsi="仿宋" w:eastAsia="仿宋" w:cs="黑体"/>
          <w:b/>
          <w:sz w:val="32"/>
          <w:szCs w:val="32"/>
        </w:rPr>
      </w:pPr>
      <w:r>
        <w:rPr>
          <w:rFonts w:hint="eastAsia" w:ascii="仿宋" w:hAnsi="仿宋" w:eastAsia="仿宋" w:cs="黑体"/>
          <w:b/>
          <w:sz w:val="32"/>
          <w:szCs w:val="32"/>
        </w:rPr>
        <w:t>二、收入决算情况说明</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本年收入合计6,173.10万元，其中：财政拨款收入5,942.14万元，占96.3%；上级补助收入0.00万元，占0%；事业收入0.00万元，占0%；经营收入0.00万元，占0%；附属单位上缴收入0.00万元，占0%；其他收入230.95万元，占3.74%。</w:t>
      </w:r>
    </w:p>
    <w:p>
      <w:pPr>
        <w:spacing w:line="590" w:lineRule="exact"/>
        <w:ind w:firstLine="630" w:firstLineChars="196"/>
        <w:jc w:val="both"/>
        <w:rPr>
          <w:rFonts w:ascii="仿宋" w:hAnsi="仿宋" w:eastAsia="仿宋" w:cs="黑体"/>
          <w:b/>
          <w:sz w:val="32"/>
          <w:szCs w:val="32"/>
        </w:rPr>
      </w:pPr>
      <w:r>
        <w:rPr>
          <w:rFonts w:hint="eastAsia" w:ascii="仿宋" w:hAnsi="仿宋" w:eastAsia="仿宋" w:cs="黑体"/>
          <w:b/>
          <w:sz w:val="32"/>
          <w:szCs w:val="32"/>
        </w:rPr>
        <w:t>三、支出决算情况说明</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本年支出合计6,047.34万元，其中：基本支出1,626.36万元，占26.9%；项目支出4,420.98万元，占73.1%；上缴上级支出0.00万元，占0%；经营支出0.00万元，占0%；对附属单位补助支出0.00万元，占0%。</w:t>
      </w:r>
    </w:p>
    <w:p>
      <w:pPr>
        <w:spacing w:line="590" w:lineRule="exact"/>
        <w:ind w:firstLine="630" w:firstLineChars="196"/>
        <w:jc w:val="both"/>
        <w:rPr>
          <w:rFonts w:ascii="仿宋" w:hAnsi="仿宋" w:eastAsia="仿宋" w:cs="黑体"/>
          <w:b/>
          <w:sz w:val="32"/>
          <w:szCs w:val="32"/>
        </w:rPr>
      </w:pPr>
      <w:r>
        <w:rPr>
          <w:rFonts w:hint="eastAsia" w:ascii="仿宋" w:hAnsi="仿宋" w:eastAsia="仿宋" w:cs="黑体"/>
          <w:b/>
          <w:sz w:val="32"/>
          <w:szCs w:val="32"/>
        </w:rPr>
        <w:t>四、财政拨款收入支出决算总体情况说明</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2020年度财政拨款收入、支出总计6,218.81万元。与2019年度相比，财政拨款收入、支出总计各减少2,161.31万元，下降25.8%。主要</w:t>
      </w:r>
      <w:r>
        <w:rPr>
          <w:rFonts w:hint="eastAsia" w:ascii="仿宋" w:hAnsi="仿宋" w:eastAsia="仿宋"/>
          <w:bCs/>
          <w:sz w:val="32"/>
          <w:szCs w:val="32"/>
        </w:rPr>
        <w:t>是财政性资金压减，项目资金减少。</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财政拨款年初结转结余276.67万元，主要是中央及省财政资金项目支出结转结余，较2019年度决算数增加247.62万元，增长852%，主要原因是：项目尚未完成，项目资金结转下年度。</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财政拨款年末结转结余315.36万元，主要是中央、省财政项目结转结余，较2019年度年</w:t>
      </w:r>
      <w:r>
        <w:rPr>
          <w:rStyle w:val="11"/>
          <w:rFonts w:hint="eastAsia" w:ascii="仿宋" w:hAnsi="仿宋" w:eastAsia="仿宋"/>
          <w:sz w:val="32"/>
          <w:szCs w:val="32"/>
        </w:rPr>
        <w:t>末决</w:t>
      </w:r>
      <w:r>
        <w:rPr>
          <w:rFonts w:hint="eastAsia" w:ascii="仿宋" w:hAnsi="仿宋" w:eastAsia="仿宋"/>
          <w:sz w:val="32"/>
          <w:szCs w:val="32"/>
        </w:rPr>
        <w:t>算数增加31.81万元，增长11.2%，主要原因是项目尚未完成，项目资金结转下年度。</w:t>
      </w:r>
    </w:p>
    <w:p>
      <w:pPr>
        <w:spacing w:line="590" w:lineRule="exact"/>
        <w:ind w:firstLine="630" w:firstLineChars="196"/>
        <w:jc w:val="both"/>
        <w:rPr>
          <w:rFonts w:ascii="仿宋" w:hAnsi="仿宋" w:eastAsia="仿宋" w:cs="黑体"/>
          <w:b/>
          <w:sz w:val="32"/>
          <w:szCs w:val="32"/>
        </w:rPr>
      </w:pPr>
      <w:r>
        <w:rPr>
          <w:rFonts w:hint="eastAsia" w:ascii="仿宋" w:hAnsi="仿宋" w:eastAsia="仿宋" w:cs="黑体"/>
          <w:b/>
          <w:sz w:val="32"/>
          <w:szCs w:val="32"/>
        </w:rPr>
        <w:t>五、一般公共预算财政拨款支出决算情况说明</w:t>
      </w:r>
    </w:p>
    <w:p>
      <w:pPr>
        <w:spacing w:line="590" w:lineRule="exact"/>
        <w:ind w:firstLine="643" w:firstLineChars="200"/>
        <w:jc w:val="both"/>
        <w:rPr>
          <w:rFonts w:ascii="仿宋" w:hAnsi="仿宋" w:eastAsia="仿宋" w:cs="楷体"/>
          <w:b/>
          <w:sz w:val="32"/>
          <w:szCs w:val="32"/>
        </w:rPr>
      </w:pPr>
      <w:bookmarkStart w:id="76" w:name="_Toc13694_WPSOffice_Level2"/>
      <w:bookmarkStart w:id="77" w:name="_Toc17398_WPSOffice_Level2"/>
      <w:bookmarkStart w:id="78" w:name="_Toc19665_WPSOffice_Level2"/>
      <w:bookmarkStart w:id="79" w:name="_Toc9989_WPSOffice_Level2"/>
      <w:bookmarkStart w:id="80" w:name="_Toc21737_WPSOffice_Level2"/>
      <w:bookmarkStart w:id="81" w:name="_Toc23005_WPSOffice_Level2"/>
      <w:r>
        <w:rPr>
          <w:rFonts w:hint="eastAsia" w:ascii="仿宋" w:hAnsi="仿宋" w:eastAsia="仿宋" w:cs="楷体"/>
          <w:b/>
          <w:sz w:val="32"/>
          <w:szCs w:val="32"/>
        </w:rPr>
        <w:t>（一）一般公共预算财政拨款支出决算总体情况</w:t>
      </w:r>
      <w:bookmarkEnd w:id="76"/>
      <w:bookmarkEnd w:id="77"/>
      <w:r>
        <w:rPr>
          <w:rFonts w:hint="eastAsia" w:ascii="仿宋" w:hAnsi="仿宋" w:eastAsia="仿宋" w:cs="楷体"/>
          <w:b/>
          <w:sz w:val="32"/>
          <w:szCs w:val="32"/>
        </w:rPr>
        <w:t>。</w:t>
      </w:r>
      <w:bookmarkEnd w:id="78"/>
      <w:bookmarkEnd w:id="79"/>
      <w:bookmarkEnd w:id="80"/>
      <w:bookmarkEnd w:id="81"/>
    </w:p>
    <w:p>
      <w:pPr>
        <w:spacing w:line="590" w:lineRule="exact"/>
        <w:ind w:firstLine="640" w:firstLineChars="200"/>
        <w:jc w:val="both"/>
        <w:rPr>
          <w:rFonts w:hint="eastAsia" w:ascii="仿宋" w:hAnsi="仿宋" w:eastAsia="仿宋"/>
          <w:color w:val="000000"/>
          <w:sz w:val="32"/>
          <w:szCs w:val="32"/>
        </w:rPr>
      </w:pPr>
      <w:r>
        <w:rPr>
          <w:rFonts w:hint="eastAsia" w:ascii="仿宋" w:hAnsi="仿宋" w:eastAsia="仿宋"/>
          <w:color w:val="000000"/>
          <w:sz w:val="32"/>
          <w:szCs w:val="32"/>
        </w:rPr>
        <w:t>2020年度一般公共预算财政拨款支出5,903.45万元，占本年支出合计的95%。与2019年度相比，一般公共预算财政拨款支出减少2,193.12万元，下降27.1%，</w:t>
      </w:r>
      <w:bookmarkStart w:id="82" w:name="_Toc2711_WPSOffice_Level2"/>
      <w:bookmarkStart w:id="83" w:name="_Toc18793_WPSOffice_Level2"/>
      <w:bookmarkStart w:id="84" w:name="_Toc19075_WPSOffice_Level2"/>
      <w:bookmarkStart w:id="85" w:name="_Toc19535_WPSOffice_Level2"/>
      <w:bookmarkStart w:id="86" w:name="_Toc27767_WPSOffice_Level2"/>
      <w:bookmarkStart w:id="87" w:name="_Toc23864_WPSOffice_Level2"/>
      <w:r>
        <w:rPr>
          <w:rFonts w:hint="eastAsia" w:ascii="仿宋" w:hAnsi="仿宋" w:eastAsia="仿宋"/>
          <w:color w:val="000000"/>
          <w:sz w:val="32"/>
          <w:szCs w:val="32"/>
        </w:rPr>
        <w:t>主要原因是公共文化服务体系专项资金</w:t>
      </w:r>
      <w:r>
        <w:rPr>
          <w:rFonts w:hint="eastAsia" w:ascii="仿宋" w:hAnsi="仿宋" w:eastAsia="仿宋"/>
          <w:color w:val="000000"/>
          <w:sz w:val="32"/>
          <w:szCs w:val="32"/>
          <w:lang w:val="en-US" w:eastAsia="zh-CN"/>
        </w:rPr>
        <w:t>等项目经费减少</w:t>
      </w:r>
      <w:r>
        <w:rPr>
          <w:rFonts w:hint="eastAsia" w:ascii="仿宋" w:hAnsi="仿宋" w:eastAsia="仿宋"/>
          <w:color w:val="000000"/>
          <w:sz w:val="32"/>
          <w:szCs w:val="32"/>
        </w:rPr>
        <w:t>。</w:t>
      </w:r>
    </w:p>
    <w:p>
      <w:pPr>
        <w:spacing w:line="590" w:lineRule="exact"/>
        <w:ind w:firstLine="643" w:firstLineChars="200"/>
        <w:jc w:val="both"/>
        <w:rPr>
          <w:rFonts w:ascii="仿宋" w:hAnsi="仿宋" w:eastAsia="仿宋" w:cs="楷体"/>
          <w:b/>
          <w:bCs/>
          <w:color w:val="000000"/>
          <w:sz w:val="32"/>
          <w:szCs w:val="32"/>
        </w:rPr>
      </w:pPr>
      <w:r>
        <w:rPr>
          <w:rFonts w:hint="eastAsia" w:ascii="仿宋" w:hAnsi="仿宋" w:eastAsia="仿宋" w:cs="楷体"/>
          <w:b/>
          <w:bCs/>
          <w:color w:val="000000"/>
          <w:sz w:val="32"/>
          <w:szCs w:val="32"/>
        </w:rPr>
        <w:t>（二）一般公共预算财政拨款支出决算结构情况</w:t>
      </w:r>
      <w:bookmarkEnd w:id="82"/>
      <w:bookmarkEnd w:id="83"/>
      <w:r>
        <w:rPr>
          <w:rFonts w:hint="eastAsia" w:ascii="仿宋" w:hAnsi="仿宋" w:eastAsia="仿宋" w:cs="楷体"/>
          <w:b/>
          <w:bCs/>
          <w:color w:val="000000"/>
          <w:sz w:val="32"/>
          <w:szCs w:val="32"/>
        </w:rPr>
        <w:t>。</w:t>
      </w:r>
      <w:bookmarkEnd w:id="84"/>
      <w:bookmarkEnd w:id="85"/>
      <w:bookmarkEnd w:id="86"/>
      <w:bookmarkEnd w:id="87"/>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2020年度一般公共预算财政拨款支出5,903.45万元，主要用于以下方面：文化旅游体育与传媒支出(类)5585.66万元，占94.62%；社会保障和就业支出(类)140.31万元，占2.38%；住房保障支出(类)103.85万元，占 1.76%；卫生健康支出(类)73.63万元占1.24 %。</w:t>
      </w:r>
    </w:p>
    <w:p>
      <w:pPr>
        <w:spacing w:line="590" w:lineRule="exact"/>
        <w:ind w:firstLine="482" w:firstLineChars="150"/>
        <w:rPr>
          <w:rFonts w:ascii="仿宋" w:hAnsi="仿宋" w:eastAsia="仿宋" w:cs="楷体"/>
          <w:b/>
          <w:bCs/>
          <w:sz w:val="32"/>
          <w:szCs w:val="32"/>
        </w:rPr>
      </w:pPr>
      <w:r>
        <w:rPr>
          <w:rFonts w:hint="eastAsia" w:ascii="仿宋" w:hAnsi="仿宋" w:eastAsia="仿宋" w:cs="楷体"/>
          <w:b/>
          <w:bCs/>
          <w:sz w:val="32"/>
          <w:szCs w:val="32"/>
        </w:rPr>
        <w:t>（三）一般公共预算财政拨款支出决算具体情况</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2020年度一般公共预算财政拨款支出年初预算为4236.87万元，支出决算为5,903.45万元。其中：</w:t>
      </w:r>
    </w:p>
    <w:p>
      <w:pPr>
        <w:ind w:firstLine="643" w:firstLineChars="200"/>
        <w:rPr>
          <w:rFonts w:ascii="仿宋" w:hAnsi="仿宋" w:eastAsia="仿宋"/>
          <w:b/>
          <w:bCs/>
          <w:sz w:val="32"/>
          <w:szCs w:val="32"/>
        </w:rPr>
      </w:pPr>
      <w:r>
        <w:rPr>
          <w:rFonts w:hint="eastAsia" w:ascii="仿宋" w:hAnsi="仿宋" w:eastAsia="仿宋"/>
          <w:b/>
          <w:bCs/>
          <w:sz w:val="32"/>
          <w:szCs w:val="32"/>
        </w:rPr>
        <w:t>1.科学技术支出（类）基础研究（款）自然科学基（项）</w:t>
      </w:r>
    </w:p>
    <w:p>
      <w:pPr>
        <w:tabs>
          <w:tab w:val="center" w:pos="4473"/>
        </w:tabs>
        <w:spacing w:line="590" w:lineRule="exact"/>
        <w:ind w:left="640"/>
        <w:jc w:val="both"/>
        <w:rPr>
          <w:rFonts w:ascii="仿宋" w:hAnsi="仿宋" w:eastAsia="仿宋"/>
          <w:sz w:val="32"/>
          <w:szCs w:val="32"/>
        </w:rPr>
      </w:pPr>
      <w:r>
        <w:rPr>
          <w:rFonts w:hint="eastAsia" w:ascii="仿宋" w:hAnsi="仿宋" w:eastAsia="仿宋"/>
          <w:sz w:val="32"/>
          <w:szCs w:val="32"/>
        </w:rPr>
        <w:t>年初预算数</w:t>
      </w:r>
      <w:r>
        <w:rPr>
          <w:rFonts w:ascii="仿宋" w:hAnsi="仿宋" w:eastAsia="仿宋"/>
          <w:sz w:val="32"/>
          <w:szCs w:val="32"/>
        </w:rPr>
        <w:t>0</w:t>
      </w:r>
      <w:r>
        <w:rPr>
          <w:rFonts w:hint="eastAsia" w:ascii="仿宋" w:hAnsi="仿宋" w:eastAsia="仿宋"/>
          <w:sz w:val="32"/>
          <w:szCs w:val="32"/>
        </w:rPr>
        <w:t>.00万元，2020年支出决算数</w:t>
      </w:r>
      <w:r>
        <w:rPr>
          <w:rFonts w:ascii="仿宋" w:hAnsi="仿宋" w:eastAsia="仿宋"/>
          <w:sz w:val="32"/>
          <w:szCs w:val="32"/>
        </w:rPr>
        <w:t>0</w:t>
      </w:r>
      <w:r>
        <w:rPr>
          <w:rFonts w:hint="eastAsia" w:ascii="仿宋" w:hAnsi="仿宋" w:eastAsia="仿宋"/>
          <w:sz w:val="32"/>
          <w:szCs w:val="32"/>
        </w:rPr>
        <w:t>.00万元。</w:t>
      </w:r>
    </w:p>
    <w:p>
      <w:pPr>
        <w:tabs>
          <w:tab w:val="center" w:pos="4473"/>
        </w:tabs>
        <w:spacing w:line="590" w:lineRule="exact"/>
        <w:ind w:firstLine="645"/>
        <w:jc w:val="both"/>
        <w:rPr>
          <w:rFonts w:ascii="仿宋" w:hAnsi="仿宋" w:eastAsia="仿宋"/>
          <w:b/>
          <w:bCs/>
          <w:sz w:val="32"/>
          <w:szCs w:val="32"/>
        </w:rPr>
      </w:pPr>
      <w:r>
        <w:rPr>
          <w:rFonts w:hint="eastAsia" w:ascii="仿宋" w:hAnsi="仿宋" w:eastAsia="仿宋"/>
          <w:b/>
          <w:bCs/>
          <w:sz w:val="32"/>
          <w:szCs w:val="32"/>
        </w:rPr>
        <w:t>2</w:t>
      </w:r>
      <w:r>
        <w:rPr>
          <w:rFonts w:ascii="仿宋" w:hAnsi="仿宋" w:eastAsia="仿宋"/>
          <w:b/>
          <w:bCs/>
          <w:sz w:val="32"/>
          <w:szCs w:val="32"/>
        </w:rPr>
        <w:t>.</w:t>
      </w:r>
      <w:r>
        <w:rPr>
          <w:rFonts w:hint="eastAsia" w:ascii="仿宋" w:hAnsi="仿宋" w:eastAsia="仿宋"/>
          <w:b/>
          <w:bCs/>
          <w:sz w:val="32"/>
          <w:szCs w:val="32"/>
        </w:rPr>
        <w:t>文化旅游体育与传媒支出（类）文化和旅游（款）其他文化和旅游支出（项）</w:t>
      </w:r>
    </w:p>
    <w:p>
      <w:pPr>
        <w:tabs>
          <w:tab w:val="center" w:pos="4473"/>
        </w:tabs>
        <w:spacing w:line="590" w:lineRule="exact"/>
        <w:ind w:firstLine="645"/>
        <w:jc w:val="both"/>
        <w:rPr>
          <w:rFonts w:ascii="仿宋" w:hAnsi="仿宋" w:eastAsia="仿宋"/>
          <w:sz w:val="32"/>
          <w:szCs w:val="32"/>
        </w:rPr>
      </w:pPr>
      <w:r>
        <w:rPr>
          <w:rFonts w:hint="eastAsia" w:ascii="仿宋" w:hAnsi="仿宋" w:eastAsia="仿宋"/>
          <w:sz w:val="32"/>
          <w:szCs w:val="32"/>
        </w:rPr>
        <w:t xml:space="preserve">年初预算数 </w:t>
      </w:r>
      <w:r>
        <w:rPr>
          <w:rFonts w:ascii="仿宋" w:hAnsi="仿宋" w:eastAsia="仿宋"/>
          <w:sz w:val="32"/>
          <w:szCs w:val="32"/>
        </w:rPr>
        <w:t>0</w:t>
      </w:r>
      <w:r>
        <w:rPr>
          <w:rFonts w:hint="eastAsia" w:ascii="仿宋" w:hAnsi="仿宋" w:eastAsia="仿宋"/>
          <w:sz w:val="32"/>
          <w:szCs w:val="32"/>
        </w:rPr>
        <w:t>.00万元，2020年支出决算数</w:t>
      </w:r>
      <w:r>
        <w:rPr>
          <w:rFonts w:ascii="仿宋" w:hAnsi="仿宋" w:eastAsia="仿宋"/>
          <w:sz w:val="32"/>
          <w:szCs w:val="32"/>
        </w:rPr>
        <w:t>0</w:t>
      </w:r>
      <w:r>
        <w:rPr>
          <w:rFonts w:hint="eastAsia" w:ascii="仿宋" w:hAnsi="仿宋" w:eastAsia="仿宋"/>
          <w:sz w:val="32"/>
          <w:szCs w:val="32"/>
        </w:rPr>
        <w:t>.00万元。</w:t>
      </w:r>
    </w:p>
    <w:p>
      <w:pPr>
        <w:tabs>
          <w:tab w:val="center" w:pos="4473"/>
        </w:tabs>
        <w:spacing w:line="590" w:lineRule="exact"/>
        <w:ind w:firstLine="643" w:firstLineChars="200"/>
        <w:jc w:val="both"/>
        <w:rPr>
          <w:rFonts w:ascii="仿宋" w:hAnsi="仿宋" w:eastAsia="仿宋"/>
          <w:sz w:val="32"/>
          <w:szCs w:val="32"/>
        </w:rPr>
      </w:pPr>
      <w:r>
        <w:rPr>
          <w:rFonts w:hint="eastAsia" w:ascii="仿宋" w:hAnsi="仿宋" w:eastAsia="仿宋"/>
          <w:b/>
          <w:bCs/>
          <w:sz w:val="32"/>
          <w:szCs w:val="32"/>
        </w:rPr>
        <w:t>3</w:t>
      </w:r>
      <w:r>
        <w:rPr>
          <w:rFonts w:ascii="仿宋" w:hAnsi="仿宋" w:eastAsia="仿宋"/>
          <w:b/>
          <w:bCs/>
          <w:sz w:val="32"/>
          <w:szCs w:val="32"/>
        </w:rPr>
        <w:t>.</w:t>
      </w:r>
      <w:r>
        <w:rPr>
          <w:rFonts w:hint="eastAsia" w:ascii="仿宋" w:hAnsi="仿宋" w:eastAsia="仿宋"/>
          <w:b/>
          <w:bCs/>
          <w:sz w:val="32"/>
          <w:szCs w:val="32"/>
        </w:rPr>
        <w:t xml:space="preserve"> 文化旅游体育与传媒支出（类）文物（款）文物保护（项）</w:t>
      </w:r>
    </w:p>
    <w:p>
      <w:pPr>
        <w:tabs>
          <w:tab w:val="center" w:pos="4473"/>
        </w:tabs>
        <w:spacing w:line="590" w:lineRule="exact"/>
        <w:ind w:firstLine="640" w:firstLineChars="200"/>
        <w:jc w:val="both"/>
        <w:rPr>
          <w:rFonts w:ascii="仿宋" w:hAnsi="仿宋" w:eastAsia="仿宋"/>
          <w:sz w:val="32"/>
          <w:szCs w:val="32"/>
          <w:highlight w:val="none"/>
        </w:rPr>
      </w:pPr>
      <w:r>
        <w:rPr>
          <w:rFonts w:hint="eastAsia" w:ascii="仿宋" w:hAnsi="仿宋" w:eastAsia="仿宋"/>
          <w:sz w:val="32"/>
          <w:szCs w:val="32"/>
        </w:rPr>
        <w:t xml:space="preserve">年初预算数 </w:t>
      </w:r>
      <w:r>
        <w:rPr>
          <w:rFonts w:ascii="仿宋" w:hAnsi="仿宋" w:eastAsia="仿宋"/>
          <w:sz w:val="32"/>
          <w:szCs w:val="32"/>
        </w:rPr>
        <w:t>0</w:t>
      </w:r>
      <w:r>
        <w:rPr>
          <w:rFonts w:hint="eastAsia" w:ascii="仿宋" w:hAnsi="仿宋" w:eastAsia="仿宋"/>
          <w:sz w:val="32"/>
          <w:szCs w:val="32"/>
        </w:rPr>
        <w:t>.00万元，2020年支出决算数</w:t>
      </w:r>
      <w:r>
        <w:rPr>
          <w:rFonts w:ascii="仿宋" w:hAnsi="仿宋" w:eastAsia="仿宋"/>
          <w:sz w:val="32"/>
          <w:szCs w:val="32"/>
        </w:rPr>
        <w:t>172.93</w:t>
      </w:r>
      <w:r>
        <w:rPr>
          <w:rFonts w:hint="eastAsia" w:ascii="仿宋" w:hAnsi="仿宋" w:eastAsia="仿宋"/>
          <w:sz w:val="32"/>
          <w:szCs w:val="32"/>
        </w:rPr>
        <w:t>万元。决算数大于预算数的主要原因：</w:t>
      </w:r>
      <w:r>
        <w:rPr>
          <w:rFonts w:hint="eastAsia" w:ascii="仿宋" w:hAnsi="仿宋" w:eastAsia="仿宋"/>
          <w:sz w:val="32"/>
          <w:szCs w:val="32"/>
          <w:highlight w:val="none"/>
        </w:rPr>
        <w:t>年间安排国家重点文物保护专项资金项目支出。</w:t>
      </w:r>
    </w:p>
    <w:p>
      <w:pPr>
        <w:tabs>
          <w:tab w:val="center" w:pos="4473"/>
        </w:tabs>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4</w:t>
      </w:r>
      <w:r>
        <w:rPr>
          <w:rFonts w:ascii="仿宋" w:hAnsi="仿宋" w:eastAsia="仿宋"/>
          <w:b/>
          <w:bCs/>
          <w:sz w:val="32"/>
          <w:szCs w:val="32"/>
        </w:rPr>
        <w:t>.</w:t>
      </w:r>
      <w:r>
        <w:rPr>
          <w:rFonts w:hint="eastAsia" w:ascii="仿宋" w:hAnsi="仿宋" w:eastAsia="仿宋"/>
          <w:b/>
          <w:bCs/>
          <w:sz w:val="32"/>
          <w:szCs w:val="32"/>
        </w:rPr>
        <w:t>文化旅游体育与传媒支出（类）文物（款）博物馆（项）</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年初预算数3883.75万元，2020年支出决算数5056.73万元，完成年初预算的130.2%。决算数大于预算数的主要原因：支出中包含上年结转项目和年间安排中央专项资金</w:t>
      </w:r>
      <w:r>
        <w:rPr>
          <w:rFonts w:hint="eastAsia" w:ascii="仿宋" w:hAnsi="仿宋" w:eastAsia="仿宋"/>
          <w:sz w:val="32"/>
          <w:szCs w:val="32"/>
          <w:highlight w:val="none"/>
          <w:lang w:val="en-US" w:eastAsia="zh-CN"/>
        </w:rPr>
        <w:t>项目</w:t>
      </w:r>
      <w:r>
        <w:rPr>
          <w:rFonts w:hint="eastAsia" w:ascii="仿宋" w:hAnsi="仿宋" w:eastAsia="仿宋"/>
          <w:sz w:val="32"/>
          <w:szCs w:val="32"/>
        </w:rPr>
        <w:t>支出。</w:t>
      </w:r>
    </w:p>
    <w:p>
      <w:pPr>
        <w:tabs>
          <w:tab w:val="center" w:pos="4473"/>
        </w:tabs>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5</w:t>
      </w:r>
      <w:r>
        <w:rPr>
          <w:rFonts w:ascii="仿宋" w:hAnsi="仿宋" w:eastAsia="仿宋"/>
          <w:b/>
          <w:bCs/>
          <w:sz w:val="32"/>
          <w:szCs w:val="32"/>
        </w:rPr>
        <w:t>.</w:t>
      </w:r>
      <w:r>
        <w:rPr>
          <w:rFonts w:hint="eastAsia" w:ascii="仿宋" w:hAnsi="仿宋" w:eastAsia="仿宋"/>
          <w:b/>
          <w:bCs/>
          <w:sz w:val="32"/>
          <w:szCs w:val="32"/>
        </w:rPr>
        <w:t xml:space="preserve"> 文化旅游体育与传媒支出（类）其他文化旅游体育与传媒支出（款）其他文化旅游体育与传媒支出（项）</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年初预算数</w:t>
      </w:r>
      <w:r>
        <w:rPr>
          <w:rFonts w:ascii="仿宋" w:hAnsi="仿宋" w:eastAsia="仿宋"/>
          <w:sz w:val="32"/>
          <w:szCs w:val="32"/>
        </w:rPr>
        <w:t>0</w:t>
      </w:r>
      <w:r>
        <w:rPr>
          <w:rFonts w:hint="eastAsia" w:ascii="仿宋" w:hAnsi="仿宋" w:eastAsia="仿宋"/>
          <w:sz w:val="32"/>
          <w:szCs w:val="32"/>
        </w:rPr>
        <w:t>.00万元，2020年支出决算数</w:t>
      </w:r>
      <w:r>
        <w:rPr>
          <w:rFonts w:ascii="仿宋" w:hAnsi="仿宋" w:eastAsia="仿宋"/>
          <w:sz w:val="32"/>
          <w:szCs w:val="32"/>
        </w:rPr>
        <w:t>356.01</w:t>
      </w:r>
      <w:r>
        <w:rPr>
          <w:rFonts w:hint="eastAsia" w:ascii="仿宋" w:hAnsi="仿宋" w:eastAsia="仿宋"/>
          <w:sz w:val="32"/>
          <w:szCs w:val="32"/>
        </w:rPr>
        <w:t>万元。决算数大于预算数的主要原因：支出中包含上年结转项目和</w:t>
      </w:r>
      <w:r>
        <w:rPr>
          <w:rFonts w:hint="eastAsia" w:ascii="仿宋" w:hAnsi="仿宋" w:eastAsia="仿宋" w:cs="仿宋"/>
          <w:sz w:val="32"/>
          <w:szCs w:val="32"/>
          <w:shd w:val="clear" w:color="060000" w:fill="FFFFFF"/>
        </w:rPr>
        <w:t>年间安排宣传文化事业建设专项资金</w:t>
      </w:r>
      <w:r>
        <w:rPr>
          <w:rFonts w:hint="eastAsia" w:ascii="仿宋" w:hAnsi="仿宋" w:eastAsia="仿宋" w:cs="仿宋"/>
          <w:sz w:val="32"/>
          <w:szCs w:val="32"/>
          <w:highlight w:val="none"/>
          <w:shd w:val="clear" w:color="060000" w:fill="FFFFFF"/>
          <w:lang w:val="en-US" w:eastAsia="zh-CN"/>
        </w:rPr>
        <w:t>项目</w:t>
      </w:r>
      <w:r>
        <w:rPr>
          <w:rFonts w:hint="eastAsia" w:ascii="仿宋" w:hAnsi="仿宋" w:eastAsia="仿宋" w:cs="仿宋"/>
          <w:sz w:val="32"/>
          <w:szCs w:val="32"/>
          <w:shd w:val="clear" w:color="060000" w:fill="FFFFFF"/>
        </w:rPr>
        <w:t>支出。</w:t>
      </w:r>
    </w:p>
    <w:p>
      <w:pPr>
        <w:tabs>
          <w:tab w:val="center" w:pos="4473"/>
        </w:tabs>
        <w:spacing w:line="590" w:lineRule="exact"/>
        <w:ind w:firstLine="643" w:firstLineChars="200"/>
        <w:jc w:val="both"/>
        <w:rPr>
          <w:rFonts w:ascii="仿宋" w:hAnsi="仿宋" w:eastAsia="仿宋"/>
          <w:sz w:val="32"/>
          <w:szCs w:val="32"/>
        </w:rPr>
      </w:pPr>
      <w:r>
        <w:rPr>
          <w:rFonts w:hint="eastAsia" w:ascii="仿宋" w:hAnsi="仿宋" w:eastAsia="仿宋"/>
          <w:b/>
          <w:bCs/>
          <w:sz w:val="32"/>
          <w:szCs w:val="32"/>
        </w:rPr>
        <w:t>6.社会保障和就业（类）行政事业单位养老支出（款）机关事业单位基本养老保险缴费支出（项）</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年初预算数116.27万元，支出决算数133.03万元，完成年初预算的114.41%。决算数大于预算数的主要原因：人员增加导致基本支出预算有所增加。</w:t>
      </w:r>
    </w:p>
    <w:p>
      <w:pPr>
        <w:tabs>
          <w:tab w:val="center" w:pos="4473"/>
        </w:tabs>
        <w:spacing w:line="590" w:lineRule="exact"/>
        <w:ind w:firstLine="643" w:firstLineChars="200"/>
        <w:jc w:val="both"/>
        <w:rPr>
          <w:rFonts w:ascii="仿宋" w:hAnsi="仿宋" w:eastAsia="仿宋"/>
          <w:b/>
          <w:bCs/>
          <w:sz w:val="32"/>
          <w:szCs w:val="32"/>
        </w:rPr>
      </w:pPr>
      <w:r>
        <w:rPr>
          <w:rFonts w:ascii="仿宋" w:hAnsi="仿宋" w:eastAsia="仿宋"/>
          <w:b/>
          <w:bCs/>
          <w:sz w:val="32"/>
          <w:szCs w:val="32"/>
        </w:rPr>
        <w:t>7</w:t>
      </w:r>
      <w:r>
        <w:rPr>
          <w:rFonts w:hint="eastAsia" w:ascii="仿宋" w:hAnsi="仿宋" w:eastAsia="仿宋"/>
          <w:b/>
          <w:bCs/>
          <w:sz w:val="32"/>
          <w:szCs w:val="32"/>
        </w:rPr>
        <w:t>.社会保障和就业（类）行政事业单位养老支出（款）机关事业单位职业年金缴费支出（项）</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年初预算数19.90万元，支出决算数7.28万元，完成年初预算的36.58%。决算数小于预算数的主要原因：基本支出预算结余。</w:t>
      </w:r>
    </w:p>
    <w:p>
      <w:pPr>
        <w:tabs>
          <w:tab w:val="center" w:pos="4473"/>
        </w:tabs>
        <w:spacing w:line="590" w:lineRule="exact"/>
        <w:ind w:firstLine="643" w:firstLineChars="200"/>
        <w:jc w:val="both"/>
        <w:rPr>
          <w:rFonts w:ascii="仿宋" w:hAnsi="仿宋" w:eastAsia="仿宋"/>
          <w:b/>
          <w:bCs/>
          <w:sz w:val="32"/>
          <w:szCs w:val="32"/>
        </w:rPr>
      </w:pPr>
      <w:r>
        <w:rPr>
          <w:rFonts w:ascii="仿宋" w:hAnsi="仿宋" w:eastAsia="仿宋"/>
          <w:b/>
          <w:bCs/>
          <w:sz w:val="32"/>
          <w:szCs w:val="32"/>
        </w:rPr>
        <w:t>8</w:t>
      </w:r>
      <w:r>
        <w:rPr>
          <w:rFonts w:hint="eastAsia" w:ascii="仿宋" w:hAnsi="仿宋" w:eastAsia="仿宋"/>
          <w:b/>
          <w:bCs/>
          <w:sz w:val="32"/>
          <w:szCs w:val="32"/>
        </w:rPr>
        <w:t>.卫生健康支出（类）行政事业单位医疗（款）事业单位医疗（项）</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年初预算数125.65万元，支出决数为73.63万元，完成年初预算的58.6%。决算数小于预算数的主要原因：基本支出预算结余。</w:t>
      </w:r>
    </w:p>
    <w:p>
      <w:pPr>
        <w:tabs>
          <w:tab w:val="center" w:pos="4473"/>
        </w:tabs>
        <w:spacing w:line="590" w:lineRule="exact"/>
        <w:ind w:firstLine="643" w:firstLineChars="200"/>
        <w:jc w:val="both"/>
        <w:rPr>
          <w:rFonts w:ascii="仿宋" w:hAnsi="仿宋" w:eastAsia="仿宋"/>
          <w:b/>
          <w:bCs/>
          <w:sz w:val="32"/>
          <w:szCs w:val="32"/>
        </w:rPr>
      </w:pPr>
      <w:r>
        <w:rPr>
          <w:rFonts w:ascii="仿宋" w:hAnsi="仿宋" w:eastAsia="仿宋"/>
          <w:b/>
          <w:bCs/>
          <w:sz w:val="32"/>
          <w:szCs w:val="32"/>
        </w:rPr>
        <w:t>9</w:t>
      </w:r>
      <w:r>
        <w:rPr>
          <w:rFonts w:hint="eastAsia" w:ascii="仿宋" w:hAnsi="仿宋" w:eastAsia="仿宋"/>
          <w:b/>
          <w:bCs/>
          <w:sz w:val="32"/>
          <w:szCs w:val="32"/>
        </w:rPr>
        <w:t>.住房保障支出（类）住房改革支出（款）住房公积金（项）</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年初预算数91.3万元，支出决算数为103.85万元，完成年初预算的113.75%。决算数大于预算数的主要原因：人员增加导致基本支出预算有所增加。</w:t>
      </w:r>
    </w:p>
    <w:p>
      <w:pPr>
        <w:tabs>
          <w:tab w:val="center" w:pos="4473"/>
        </w:tabs>
        <w:spacing w:line="590" w:lineRule="exact"/>
        <w:ind w:firstLine="643" w:firstLineChars="200"/>
        <w:jc w:val="both"/>
        <w:rPr>
          <w:rFonts w:ascii="仿宋" w:hAnsi="仿宋" w:eastAsia="仿宋" w:cs="黑体"/>
          <w:b/>
          <w:sz w:val="32"/>
          <w:szCs w:val="32"/>
        </w:rPr>
      </w:pPr>
      <w:r>
        <w:rPr>
          <w:rFonts w:hint="eastAsia" w:ascii="仿宋" w:hAnsi="仿宋" w:eastAsia="仿宋" w:cs="黑体"/>
          <w:b/>
          <w:sz w:val="32"/>
          <w:szCs w:val="32"/>
        </w:rPr>
        <w:t>六、一般公共预算财政拨款基本支出决算情况说明</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财政拨款基本支出1,626.20万元，其中：人员经费1,335.92万元，主要包括：基本工资、津贴补贴、医疗费、绩效工资、其他工资福利支出、住房公积金、机关事业单位基本养老保险缴费、职业年金缴费、职工基本医疗保险缴费、其他社会保障缴费、奖励金。公用经费290.28万元，主要包括：办公费、印刷费、手续费、邮电费、物业管理费、差旅费、维修（护）费、租赁费、培训费、公务接待费、专用材料费、劳务费、工会经费、公务用车运行维护费、其他交通费用、其他商品和服务支出、办公设备购置、专用设备购置、文物和陈列品购置、其他资本性支出。</w:t>
      </w:r>
    </w:p>
    <w:p>
      <w:pPr>
        <w:tabs>
          <w:tab w:val="center" w:pos="4473"/>
        </w:tabs>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七、政府性基金预算财政拨款收入支出决算情况说明</w:t>
      </w:r>
    </w:p>
    <w:p>
      <w:pPr>
        <w:tabs>
          <w:tab w:val="center" w:pos="4473"/>
        </w:tabs>
        <w:spacing w:line="590" w:lineRule="exact"/>
        <w:ind w:firstLine="643" w:firstLineChars="200"/>
        <w:jc w:val="both"/>
        <w:rPr>
          <w:rFonts w:ascii="仿宋" w:hAnsi="仿宋" w:eastAsia="仿宋"/>
          <w:sz w:val="32"/>
          <w:szCs w:val="32"/>
        </w:rPr>
      </w:pPr>
      <w:r>
        <w:rPr>
          <w:rFonts w:hint="eastAsia" w:ascii="仿宋" w:hAnsi="仿宋" w:eastAsia="仿宋"/>
          <w:b/>
          <w:bCs/>
          <w:sz w:val="32"/>
          <w:szCs w:val="32"/>
        </w:rPr>
        <w:t>（一）政府性基金预算财政拨款收入支出决算总体情况。</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2020年政府性基金预算财政拨款收入0.00万元，支出0.00万元，占本年支出合计的0%。与2019年度相比，政府性基金预算财政拨款支出增长0%。</w:t>
      </w:r>
    </w:p>
    <w:p>
      <w:pPr>
        <w:tabs>
          <w:tab w:val="center" w:pos="4473"/>
        </w:tabs>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（二）政府性基金预算财政拨款支出决算结构情况</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2020年度政府性基金预算财政拨款支出0.00万元。</w:t>
      </w:r>
    </w:p>
    <w:p>
      <w:pPr>
        <w:tabs>
          <w:tab w:val="center" w:pos="4473"/>
        </w:tabs>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（三）政府性基金预算财政拨款支出决算具体情况。</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2020年度政府性基金预算财政拨款支出年初预算为0.00万元，支出决算为0</w:t>
      </w:r>
      <w:r>
        <w:rPr>
          <w:rFonts w:hint="eastAsia" w:ascii="仿宋" w:hAnsi="仿宋" w:eastAsia="仿宋"/>
          <w:sz w:val="32"/>
          <w:szCs w:val="32"/>
          <w:lang w:val="en-US" w:eastAsia="zh-CN"/>
        </w:rPr>
        <w:t>.00</w:t>
      </w:r>
      <w:r>
        <w:rPr>
          <w:rFonts w:hint="eastAsia" w:ascii="仿宋" w:hAnsi="仿宋" w:eastAsia="仿宋"/>
          <w:sz w:val="32"/>
          <w:szCs w:val="32"/>
        </w:rPr>
        <w:t>万元，完成年初预算的0%。</w:t>
      </w:r>
    </w:p>
    <w:p>
      <w:pPr>
        <w:tabs>
          <w:tab w:val="center" w:pos="4473"/>
        </w:tabs>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八、国有资本经营预算财政拨款收入支出决算情况说明</w:t>
      </w:r>
    </w:p>
    <w:p>
      <w:pPr>
        <w:tabs>
          <w:tab w:val="center" w:pos="4473"/>
        </w:tabs>
        <w:spacing w:line="590" w:lineRule="exact"/>
        <w:ind w:firstLine="643" w:firstLineChars="200"/>
        <w:jc w:val="both"/>
        <w:rPr>
          <w:rFonts w:ascii="仿宋" w:hAnsi="仿宋" w:eastAsia="仿宋"/>
          <w:sz w:val="32"/>
          <w:szCs w:val="32"/>
        </w:rPr>
      </w:pPr>
      <w:r>
        <w:rPr>
          <w:rFonts w:hint="eastAsia" w:ascii="仿宋" w:hAnsi="仿宋" w:eastAsia="仿宋"/>
          <w:b/>
          <w:bCs/>
          <w:sz w:val="32"/>
          <w:szCs w:val="32"/>
        </w:rPr>
        <w:t>（一）国有资本经营预算财政拨款收入支出决算总体情况。</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2020年度国有资本经营预算财政拨款收入0.00万元，支出0.00万元，占本年支出合计0%。与2019年度相比，国有资本经营预算财政拨款支出增加0.00万元，增长0%。</w:t>
      </w:r>
    </w:p>
    <w:p>
      <w:pPr>
        <w:tabs>
          <w:tab w:val="center" w:pos="4473"/>
        </w:tabs>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（二）国有资本经营预算财政拨款支出决算结构情况。</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2020年度国有资本经营预算财政支出0.00万元。</w:t>
      </w:r>
    </w:p>
    <w:p>
      <w:pPr>
        <w:tabs>
          <w:tab w:val="center" w:pos="4473"/>
        </w:tabs>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（三）国有资本经营预算财政拨款支出决算具体情况。</w:t>
      </w:r>
    </w:p>
    <w:p>
      <w:pPr>
        <w:tabs>
          <w:tab w:val="center" w:pos="4473"/>
        </w:tabs>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2020年度国有资本经营预算财政支出年初预算为0.00万元，支出决算为0.00万元，完成年初预算的0%。</w:t>
      </w:r>
    </w:p>
    <w:p>
      <w:pPr>
        <w:spacing w:line="590" w:lineRule="exact"/>
        <w:ind w:firstLine="630" w:firstLineChars="196"/>
        <w:jc w:val="both"/>
        <w:rPr>
          <w:rFonts w:ascii="仿宋" w:hAnsi="仿宋" w:eastAsia="仿宋" w:cs="黑体"/>
          <w:b/>
          <w:sz w:val="32"/>
          <w:szCs w:val="32"/>
        </w:rPr>
      </w:pPr>
      <w:r>
        <w:rPr>
          <w:rFonts w:hint="eastAsia" w:ascii="仿宋" w:hAnsi="仿宋" w:eastAsia="仿宋" w:cs="黑体"/>
          <w:b/>
          <w:sz w:val="32"/>
          <w:szCs w:val="32"/>
        </w:rPr>
        <w:t>九、一般公共预算财政拨款“三公”经费支出决算情况说明</w:t>
      </w:r>
    </w:p>
    <w:p>
      <w:pPr>
        <w:spacing w:line="590" w:lineRule="exact"/>
        <w:ind w:firstLine="643" w:firstLineChars="200"/>
        <w:jc w:val="both"/>
        <w:rPr>
          <w:rFonts w:ascii="仿宋" w:hAnsi="仿宋" w:eastAsia="仿宋" w:cs="楷体"/>
          <w:b/>
          <w:sz w:val="32"/>
          <w:szCs w:val="32"/>
        </w:rPr>
      </w:pPr>
      <w:r>
        <w:rPr>
          <w:rFonts w:hint="eastAsia" w:ascii="仿宋" w:hAnsi="仿宋" w:eastAsia="仿宋" w:cs="楷体"/>
          <w:b/>
          <w:sz w:val="32"/>
          <w:szCs w:val="32"/>
        </w:rPr>
        <w:t>（一）一般公共预算财政拨款“三公”经费支出决算总体情况说明。</w:t>
      </w:r>
    </w:p>
    <w:p>
      <w:pPr>
        <w:spacing w:line="590" w:lineRule="exact"/>
        <w:ind w:firstLine="640" w:firstLineChars="200"/>
        <w:jc w:val="both"/>
        <w:rPr>
          <w:rFonts w:ascii="仿宋" w:hAnsi="仿宋" w:eastAsia="仿宋" w:cs="楷体"/>
          <w:b/>
          <w:sz w:val="32"/>
          <w:szCs w:val="32"/>
        </w:rPr>
      </w:pPr>
      <w:r>
        <w:rPr>
          <w:rFonts w:hint="eastAsia" w:ascii="仿宋" w:hAnsi="仿宋" w:eastAsia="仿宋"/>
          <w:sz w:val="32"/>
          <w:szCs w:val="32"/>
        </w:rPr>
        <w:t>2020年度一般公共预算财政拨款“三公”经费支出预算为32.50万元，支出决算为8.13万元，完成预算的25%。</w:t>
      </w:r>
    </w:p>
    <w:p>
      <w:pPr>
        <w:spacing w:line="590" w:lineRule="exact"/>
        <w:ind w:firstLine="482" w:firstLineChars="150"/>
        <w:jc w:val="both"/>
        <w:rPr>
          <w:rFonts w:ascii="仿宋" w:hAnsi="仿宋" w:eastAsia="仿宋" w:cs="楷体"/>
          <w:b/>
          <w:sz w:val="32"/>
          <w:szCs w:val="32"/>
        </w:rPr>
      </w:pPr>
      <w:r>
        <w:rPr>
          <w:rFonts w:hint="eastAsia" w:ascii="仿宋" w:hAnsi="仿宋" w:eastAsia="仿宋" w:cs="楷体"/>
          <w:b/>
          <w:sz w:val="32"/>
          <w:szCs w:val="32"/>
        </w:rPr>
        <w:t>（二）一般公共预算财政拨款“三公”经费支出决算具体情况说明。</w:t>
      </w:r>
    </w:p>
    <w:p>
      <w:pPr>
        <w:spacing w:line="590" w:lineRule="exact"/>
        <w:ind w:firstLine="480" w:firstLineChars="150"/>
        <w:jc w:val="both"/>
        <w:rPr>
          <w:rFonts w:ascii="仿宋" w:hAnsi="仿宋" w:eastAsia="仿宋"/>
          <w:sz w:val="32"/>
          <w:szCs w:val="32"/>
        </w:rPr>
      </w:pPr>
      <w:r>
        <w:rPr>
          <w:rFonts w:hint="eastAsia" w:ascii="仿宋" w:hAnsi="仿宋" w:eastAsia="仿宋"/>
          <w:sz w:val="32"/>
          <w:szCs w:val="32"/>
        </w:rPr>
        <w:t>2020年度一般公共预算财政拨款“三公”经费支出决算中，因公出国（境）费支出决算0.00万元，占0%；公务用车购置及运行费支出决算7.14万元，占22%；公务接待费支出决算0.99万元，占3%。具体情况如下：</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1.因公出国（境）费支出0.00万元。主要因为受新冠肺炎疫情影响，取消因公出国（境）计划。</w:t>
      </w:r>
    </w:p>
    <w:p>
      <w:pPr>
        <w:spacing w:line="590" w:lineRule="exact"/>
        <w:ind w:firstLine="480" w:firstLineChars="150"/>
        <w:jc w:val="both"/>
        <w:rPr>
          <w:rFonts w:ascii="仿宋" w:hAnsi="仿宋" w:eastAsia="仿宋"/>
          <w:sz w:val="32"/>
          <w:szCs w:val="32"/>
        </w:rPr>
      </w:pPr>
      <w:r>
        <w:rPr>
          <w:rFonts w:hint="eastAsia" w:ascii="仿宋" w:hAnsi="仿宋" w:eastAsia="仿宋"/>
          <w:sz w:val="32"/>
          <w:szCs w:val="32"/>
        </w:rPr>
        <w:t xml:space="preserve"> 2.公务用车购置及运行费支出7.14万元。其中：</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公务用车购置支出0.00万元，全年购置公务用车0辆，年末公务用车保有量</w:t>
      </w:r>
      <w:r>
        <w:rPr>
          <w:rFonts w:hint="eastAsia" w:ascii="仿宋" w:hAnsi="仿宋" w:eastAsia="仿宋"/>
          <w:color w:val="000000"/>
          <w:sz w:val="32"/>
          <w:szCs w:val="32"/>
        </w:rPr>
        <w:t>4辆。</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公务用车运行维护费支出7.14万元，主要用于单位公务用车燃料费、维修费、保险费等支出。</w:t>
      </w:r>
    </w:p>
    <w:p>
      <w:pPr>
        <w:spacing w:line="590" w:lineRule="exact"/>
        <w:ind w:firstLine="640" w:firstLineChars="200"/>
        <w:jc w:val="both"/>
        <w:rPr>
          <w:rFonts w:ascii="仿宋" w:hAnsi="仿宋" w:eastAsia="仿宋"/>
          <w:bCs/>
          <w:sz w:val="32"/>
          <w:szCs w:val="32"/>
        </w:rPr>
      </w:pPr>
      <w:r>
        <w:rPr>
          <w:rFonts w:hint="eastAsia" w:ascii="仿宋" w:hAnsi="仿宋" w:eastAsia="仿宋"/>
          <w:bCs/>
          <w:sz w:val="32"/>
          <w:szCs w:val="32"/>
        </w:rPr>
        <w:t>公务用车购置及运行费支出决算数</w:t>
      </w:r>
      <w:r>
        <w:rPr>
          <w:rFonts w:hint="eastAsia" w:ascii="仿宋" w:hAnsi="仿宋" w:eastAsia="仿宋"/>
          <w:sz w:val="32"/>
          <w:szCs w:val="32"/>
        </w:rPr>
        <w:t>比预算数减少1.5万元。主要原因是认真贯彻落实中央“八项规定”精神和厉行节约要求，从严控制、压缩三公经费支出。</w:t>
      </w:r>
    </w:p>
    <w:p>
      <w:pPr>
        <w:spacing w:line="590" w:lineRule="exact"/>
        <w:jc w:val="both"/>
        <w:rPr>
          <w:rFonts w:ascii="仿宋" w:hAnsi="仿宋" w:eastAsia="仿宋"/>
          <w:sz w:val="32"/>
          <w:szCs w:val="32"/>
        </w:rPr>
      </w:pPr>
      <w:r>
        <w:rPr>
          <w:rFonts w:hint="eastAsia" w:ascii="仿宋" w:hAnsi="仿宋" w:eastAsia="仿宋"/>
          <w:sz w:val="32"/>
          <w:szCs w:val="32"/>
        </w:rPr>
        <w:t>3.公务接待费支出0.99万元，其中：</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国内接待费支出0.99万元，国内公务接待6批次，接</w:t>
      </w:r>
      <w:r>
        <w:rPr>
          <w:rFonts w:hint="eastAsia" w:ascii="仿宋" w:hAnsi="仿宋" w:eastAsia="仿宋"/>
          <w:color w:val="000000"/>
          <w:sz w:val="32"/>
          <w:szCs w:val="32"/>
        </w:rPr>
        <w:t>待73人次</w:t>
      </w:r>
      <w:r>
        <w:rPr>
          <w:rFonts w:hint="eastAsia" w:ascii="仿宋" w:hAnsi="仿宋" w:eastAsia="仿宋"/>
          <w:sz w:val="32"/>
          <w:szCs w:val="32"/>
        </w:rPr>
        <w:t>；主要用于承担相关业务接待。</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国（境）外接待费支出0.00万元，国（境）外公务接待0批次，接待0人次。</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公务接待费支出决算数比预算数减少2.2万元，下降69.1%。主要原因是落实“八项规定”要求，厉行节约，严格按《中共海南省委办公厅 海南省人民政府办公厅关于印发〈海南省党政机关国家公务接待管理办法〉的通知》执行。</w:t>
      </w:r>
    </w:p>
    <w:p>
      <w:pPr>
        <w:spacing w:line="590" w:lineRule="exact"/>
        <w:ind w:firstLine="630" w:firstLineChars="196"/>
        <w:jc w:val="both"/>
        <w:rPr>
          <w:rFonts w:ascii="仿宋" w:hAnsi="仿宋" w:eastAsia="仿宋" w:cs="黑体"/>
          <w:b/>
          <w:sz w:val="32"/>
          <w:szCs w:val="32"/>
        </w:rPr>
      </w:pPr>
      <w:r>
        <w:rPr>
          <w:rFonts w:hint="eastAsia" w:ascii="仿宋" w:hAnsi="仿宋" w:eastAsia="仿宋" w:cs="黑体"/>
          <w:b/>
          <w:sz w:val="32"/>
          <w:szCs w:val="32"/>
        </w:rPr>
        <w:t>十、政府性基金预算财政拨款“三公”经费支出决算情况说明</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2020年度政府性基金预算财政拨款“三公”经费支出合计0.00万元。其中：因公出国（境）费支出决算0.00万元，占0%；公务用车购置及运行费支出决算0.00万元，占0%；公务接待费支出决算0</w:t>
      </w:r>
      <w:r>
        <w:rPr>
          <w:rFonts w:hint="eastAsia" w:ascii="仿宋" w:hAnsi="仿宋" w:eastAsia="仿宋"/>
          <w:sz w:val="32"/>
          <w:szCs w:val="32"/>
          <w:lang w:val="en-US" w:eastAsia="zh-CN"/>
        </w:rPr>
        <w:t>.00</w:t>
      </w:r>
      <w:r>
        <w:rPr>
          <w:rFonts w:hint="eastAsia" w:ascii="仿宋" w:hAnsi="仿宋" w:eastAsia="仿宋"/>
          <w:sz w:val="32"/>
          <w:szCs w:val="32"/>
        </w:rPr>
        <w:t>万元，占0%。</w:t>
      </w:r>
    </w:p>
    <w:p>
      <w:pPr>
        <w:spacing w:line="590" w:lineRule="exact"/>
        <w:ind w:firstLine="630" w:firstLineChars="196"/>
        <w:jc w:val="both"/>
        <w:rPr>
          <w:rFonts w:ascii="仿宋" w:hAnsi="仿宋" w:eastAsia="仿宋"/>
          <w:b/>
          <w:sz w:val="32"/>
          <w:szCs w:val="32"/>
        </w:rPr>
      </w:pPr>
      <w:r>
        <w:rPr>
          <w:rFonts w:hint="eastAsia" w:ascii="仿宋" w:hAnsi="仿宋" w:eastAsia="仿宋" w:cs="黑体"/>
          <w:b/>
          <w:sz w:val="32"/>
          <w:szCs w:val="32"/>
        </w:rPr>
        <w:t>十一、国有资本经营预算财政拨款“三公”经费支出决算情况说明</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2020年度国有资本经营预算财政拨款“三公”经费支出合计0.00万元。其中：因公出国（境）费支出决算0.00万元，占0%；公务用车购置及运行费支出决算0.00万元，占0%；公务接待费支出决算0.00万元，占0%。</w:t>
      </w:r>
    </w:p>
    <w:p>
      <w:pPr>
        <w:spacing w:line="590" w:lineRule="exact"/>
        <w:ind w:firstLine="643" w:firstLineChars="200"/>
        <w:jc w:val="both"/>
        <w:rPr>
          <w:rFonts w:ascii="仿宋" w:hAnsi="仿宋" w:eastAsia="仿宋" w:cs="黑体"/>
          <w:b/>
          <w:sz w:val="32"/>
          <w:szCs w:val="32"/>
        </w:rPr>
      </w:pPr>
      <w:r>
        <w:rPr>
          <w:rFonts w:hint="eastAsia" w:ascii="仿宋" w:hAnsi="仿宋" w:eastAsia="仿宋" w:cs="黑体"/>
          <w:b/>
          <w:sz w:val="32"/>
          <w:szCs w:val="32"/>
        </w:rPr>
        <w:t>十二、预算绩效情况说明。</w:t>
      </w:r>
    </w:p>
    <w:p>
      <w:pPr>
        <w:spacing w:line="590" w:lineRule="exact"/>
        <w:ind w:firstLine="643" w:firstLineChars="200"/>
        <w:jc w:val="both"/>
        <w:rPr>
          <w:rFonts w:ascii="仿宋" w:hAnsi="仿宋" w:eastAsia="仿宋" w:cs="楷体"/>
          <w:b/>
          <w:sz w:val="32"/>
          <w:szCs w:val="32"/>
        </w:rPr>
      </w:pPr>
      <w:r>
        <w:rPr>
          <w:rFonts w:hint="eastAsia" w:ascii="仿宋" w:hAnsi="仿宋" w:eastAsia="仿宋" w:cs="楷体"/>
          <w:b/>
          <w:sz w:val="32"/>
          <w:szCs w:val="32"/>
        </w:rPr>
        <w:t>（一）绩效管理工作开展情况。</w:t>
      </w:r>
    </w:p>
    <w:p>
      <w:pPr>
        <w:spacing w:line="590" w:lineRule="exact"/>
        <w:ind w:firstLine="800" w:firstLineChars="250"/>
        <w:jc w:val="both"/>
        <w:rPr>
          <w:rFonts w:ascii="仿宋" w:hAnsi="仿宋" w:eastAsia="仿宋"/>
          <w:sz w:val="32"/>
          <w:szCs w:val="32"/>
        </w:rPr>
      </w:pPr>
      <w:r>
        <w:rPr>
          <w:rFonts w:hint="eastAsia" w:ascii="仿宋" w:hAnsi="仿宋" w:eastAsia="仿宋"/>
          <w:sz w:val="32"/>
          <w:szCs w:val="32"/>
        </w:rPr>
        <w:t>根据财政预算绩效管理要求，我单位组织对2020年度一般公共预算项目支出全面开展绩效自评。自评项目4</w:t>
      </w:r>
      <w:r>
        <w:rPr>
          <w:rStyle w:val="11"/>
          <w:rFonts w:hint="eastAsia" w:ascii="仿宋" w:hAnsi="仿宋" w:eastAsia="仿宋"/>
          <w:sz w:val="32"/>
          <w:szCs w:val="32"/>
        </w:rPr>
        <w:t>个</w:t>
      </w:r>
      <w:r>
        <w:rPr>
          <w:rFonts w:hint="eastAsia" w:ascii="仿宋" w:hAnsi="仿宋" w:eastAsia="仿宋"/>
          <w:sz w:val="32"/>
          <w:szCs w:val="32"/>
        </w:rPr>
        <w:t>，自评覆盖率达到100%。共组织对 “海南省博物馆旅游和文化广电体育事业专项资金项目”、“海南省博物馆设备（装备）购置与运行维护项目”、“海南省博物馆信息系统运行维护项目”、“海南省博物馆二期文物征集费项目”4</w:t>
      </w:r>
      <w:r>
        <w:rPr>
          <w:rStyle w:val="11"/>
          <w:rFonts w:hint="eastAsia" w:ascii="仿宋" w:hAnsi="仿宋" w:eastAsia="仿宋"/>
          <w:sz w:val="32"/>
          <w:szCs w:val="32"/>
        </w:rPr>
        <w:t>个</w:t>
      </w:r>
      <w:r>
        <w:rPr>
          <w:rFonts w:hint="eastAsia" w:ascii="仿宋" w:hAnsi="仿宋" w:eastAsia="仿宋"/>
          <w:sz w:val="32"/>
          <w:szCs w:val="32"/>
        </w:rPr>
        <w:t>项目开展了绩效评价，涉及资金2641.41万元。</w:t>
      </w:r>
    </w:p>
    <w:p>
      <w:pPr>
        <w:spacing w:line="590" w:lineRule="exact"/>
        <w:ind w:firstLine="800" w:firstLineChars="250"/>
        <w:jc w:val="both"/>
        <w:rPr>
          <w:rFonts w:hint="eastAsia" w:ascii="仿宋" w:hAnsi="仿宋" w:eastAsia="仿宋"/>
          <w:sz w:val="32"/>
          <w:szCs w:val="32"/>
        </w:rPr>
      </w:pPr>
      <w:r>
        <w:rPr>
          <w:rFonts w:hint="eastAsia" w:ascii="仿宋" w:hAnsi="仿宋" w:eastAsia="仿宋"/>
          <w:sz w:val="32"/>
          <w:szCs w:val="32"/>
        </w:rPr>
        <w:t>开展整体支出绩效评价报告，涉及金额6047.34万元。评价情况如下：海南省博物馆内设机构的设立、任务及职责等于“三定”方案相符，内设机构活动的设定在职责范围内，符合单位中长期规划及年度工作安排；针对各项活动设定了对应的指标，相应的绩效目标可量化。海南省博物馆做到了机构有效运行，财政预算安排机构基本合理。但项目预算绩效管理方面整体完成度一般，在个别项目的预算绩效管理方面任有很大的提高空间；公用经费管理执行到位，资金使用合规。项目实际完成进度有待提高及资金支付进度有待加强。本次绩效评价总分为100分，绩效得分82.72分，绩效级别评定为良。</w:t>
      </w:r>
    </w:p>
    <w:p>
      <w:pPr>
        <w:spacing w:line="590" w:lineRule="exact"/>
        <w:ind w:firstLine="800" w:firstLineChars="250"/>
        <w:jc w:val="both"/>
        <w:rPr>
          <w:rFonts w:ascii="仿宋" w:hAnsi="仿宋" w:eastAsia="仿宋"/>
          <w:sz w:val="32"/>
          <w:szCs w:val="32"/>
        </w:rPr>
      </w:pPr>
    </w:p>
    <w:p>
      <w:pPr>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（二）单位决算中项目绩效自评结果。</w:t>
      </w:r>
    </w:p>
    <w:p>
      <w:pPr>
        <w:spacing w:line="590" w:lineRule="exact"/>
        <w:ind w:firstLine="800" w:firstLineChars="250"/>
        <w:jc w:val="both"/>
        <w:rPr>
          <w:rFonts w:hint="eastAsia" w:ascii="仿宋" w:hAnsi="仿宋" w:eastAsia="仿宋"/>
          <w:sz w:val="32"/>
          <w:szCs w:val="32"/>
        </w:rPr>
      </w:pPr>
      <w:r>
        <w:rPr>
          <w:rFonts w:hint="eastAsia" w:ascii="仿宋" w:hAnsi="仿宋" w:eastAsia="仿宋"/>
          <w:sz w:val="32"/>
          <w:szCs w:val="32"/>
        </w:rPr>
        <w:t>我单位今年在省本级部门决算中反映设备（装备）购置与运行维护项目、二期文物征集项目、信息系统运行维护项目及旅游和文化广电体育事业专项资金项目绩效自评结果。部分项目绩效自评结果列举如下：</w:t>
      </w:r>
    </w:p>
    <w:p>
      <w:pPr>
        <w:spacing w:line="590" w:lineRule="exact"/>
        <w:ind w:firstLine="800" w:firstLineChars="250"/>
        <w:jc w:val="both"/>
        <w:rPr>
          <w:rFonts w:hint="eastAsia" w:ascii="仿宋" w:hAnsi="仿宋" w:eastAsia="仿宋"/>
          <w:sz w:val="32"/>
          <w:szCs w:val="32"/>
        </w:rPr>
      </w:pPr>
      <w:r>
        <w:rPr>
          <w:rFonts w:hint="eastAsia" w:ascii="仿宋" w:hAnsi="仿宋" w:eastAsia="仿宋"/>
          <w:sz w:val="32"/>
          <w:szCs w:val="32"/>
        </w:rPr>
        <w:t>设备（装备）购置与运行维护项目绩效自评综述：根据年初设定的绩效目标，项目自评得分为94分。全年预算数为1164.50万元，执行数为1057.51万元，完成预算的90.81%。项目绩效目标完成情况：一是设施设备维修（护）次数57次；二是职工食堂保障率达90%；三是年度用电量3801920千瓦时；四是物业管理达标月数12个月；五是</w:t>
      </w:r>
      <w:r>
        <w:rPr>
          <w:rFonts w:hint="eastAsia" w:ascii="仿宋" w:hAnsi="仿宋" w:eastAsia="仿宋"/>
          <w:sz w:val="32"/>
          <w:szCs w:val="32"/>
          <w:lang w:val="en-US" w:eastAsia="zh-CN"/>
        </w:rPr>
        <w:t>物业</w:t>
      </w:r>
      <w:r>
        <w:rPr>
          <w:rFonts w:hint="eastAsia" w:ascii="仿宋" w:hAnsi="仿宋" w:eastAsia="仿宋"/>
          <w:sz w:val="32"/>
          <w:szCs w:val="32"/>
        </w:rPr>
        <w:t>人员保障率达到90%；六是各设施设备全年均正常运转，未发生非正常闭馆事件；七是物业管理满意率达到100%。发现的主要问题及原因：项目绩效目标设定不够</w:t>
      </w:r>
      <w:r>
        <w:rPr>
          <w:rFonts w:hint="eastAsia" w:ascii="仿宋" w:hAnsi="仿宋" w:eastAsia="仿宋"/>
          <w:sz w:val="32"/>
          <w:szCs w:val="32"/>
          <w:lang w:val="en-US" w:eastAsia="zh-CN"/>
        </w:rPr>
        <w:t>全面。</w:t>
      </w:r>
      <w:r>
        <w:rPr>
          <w:rFonts w:hint="eastAsia" w:ascii="仿宋" w:hAnsi="仿宋" w:eastAsia="仿宋"/>
          <w:sz w:val="32"/>
          <w:szCs w:val="32"/>
        </w:rPr>
        <w:t>下一步改进措施：完善项目</w:t>
      </w:r>
      <w:r>
        <w:rPr>
          <w:rFonts w:hint="eastAsia" w:ascii="仿宋" w:hAnsi="仿宋" w:eastAsia="仿宋"/>
          <w:sz w:val="32"/>
          <w:szCs w:val="32"/>
          <w:lang w:val="en-US" w:eastAsia="zh-CN"/>
        </w:rPr>
        <w:t>绩效</w:t>
      </w:r>
      <w:r>
        <w:rPr>
          <w:rFonts w:hint="eastAsia" w:ascii="仿宋" w:hAnsi="仿宋" w:eastAsia="仿宋"/>
          <w:sz w:val="32"/>
          <w:szCs w:val="32"/>
        </w:rPr>
        <w:t xml:space="preserve">目标的设置，设置全面细化的绩效目标。  </w:t>
      </w:r>
    </w:p>
    <w:p>
      <w:pPr>
        <w:spacing w:line="590" w:lineRule="exact"/>
        <w:ind w:firstLine="800" w:firstLineChars="250"/>
        <w:jc w:val="both"/>
        <w:rPr>
          <w:rFonts w:hint="eastAsia" w:ascii="仿宋" w:hAnsi="仿宋" w:eastAsia="仿宋"/>
          <w:sz w:val="32"/>
          <w:szCs w:val="32"/>
        </w:rPr>
      </w:pPr>
      <w:r>
        <w:rPr>
          <w:rFonts w:hint="eastAsia" w:ascii="仿宋" w:hAnsi="仿宋" w:eastAsia="仿宋"/>
          <w:sz w:val="32"/>
          <w:szCs w:val="32"/>
        </w:rPr>
        <w:t>海南省博物馆二期文物征集项目绩效自评综述：根据年初设定的绩效目标，项目得分99分。全年预算数为475万元，执行数为474.95万元，完成预算的99.99%。项目绩效目标完成情况：一是完成文物征集56件（套）；二是博物馆文物陈列展览保障率90%；三是博物馆文物课题研究保障率80%。发现的</w:t>
      </w:r>
      <w:r>
        <w:rPr>
          <w:rFonts w:hint="eastAsia" w:ascii="仿宋" w:hAnsi="仿宋" w:eastAsia="仿宋"/>
          <w:sz w:val="32"/>
          <w:szCs w:val="32"/>
          <w:lang w:val="en-US" w:eastAsia="zh-CN"/>
        </w:rPr>
        <w:t>主要</w:t>
      </w:r>
      <w:r>
        <w:rPr>
          <w:rFonts w:hint="eastAsia" w:ascii="仿宋" w:hAnsi="仿宋" w:eastAsia="仿宋"/>
          <w:sz w:val="32"/>
          <w:szCs w:val="32"/>
        </w:rPr>
        <w:t>问题及原因：项目绩效目标设定不够</w:t>
      </w:r>
      <w:r>
        <w:rPr>
          <w:rFonts w:hint="eastAsia" w:ascii="仿宋" w:hAnsi="仿宋" w:eastAsia="仿宋"/>
          <w:sz w:val="32"/>
          <w:szCs w:val="32"/>
          <w:lang w:val="en-US" w:eastAsia="zh-CN"/>
        </w:rPr>
        <w:t>全面。</w:t>
      </w:r>
      <w:r>
        <w:rPr>
          <w:rFonts w:hint="eastAsia" w:ascii="仿宋" w:hAnsi="仿宋" w:eastAsia="仿宋"/>
          <w:sz w:val="32"/>
          <w:szCs w:val="32"/>
        </w:rPr>
        <w:t>下一步改进措施：完善项目</w:t>
      </w:r>
      <w:r>
        <w:rPr>
          <w:rFonts w:hint="eastAsia" w:ascii="仿宋" w:hAnsi="仿宋" w:eastAsia="仿宋"/>
          <w:sz w:val="32"/>
          <w:szCs w:val="32"/>
          <w:lang w:val="en-US" w:eastAsia="zh-CN"/>
        </w:rPr>
        <w:t>绩效</w:t>
      </w:r>
      <w:r>
        <w:rPr>
          <w:rFonts w:hint="eastAsia" w:ascii="仿宋" w:hAnsi="仿宋" w:eastAsia="仿宋"/>
          <w:sz w:val="32"/>
          <w:szCs w:val="32"/>
        </w:rPr>
        <w:t xml:space="preserve">目标的设置，设置全面细化的绩效目标。  </w:t>
      </w:r>
    </w:p>
    <w:p>
      <w:pPr>
        <w:spacing w:line="590" w:lineRule="exact"/>
        <w:ind w:firstLine="640" w:firstLineChars="200"/>
        <w:jc w:val="both"/>
        <w:rPr>
          <w:rFonts w:hint="eastAsia" w:ascii="仿宋" w:hAnsi="仿宋" w:eastAsia="仿宋"/>
          <w:sz w:val="32"/>
          <w:szCs w:val="32"/>
          <w:lang w:eastAsia="zh-CN"/>
        </w:rPr>
      </w:pPr>
    </w:p>
    <w:p>
      <w:pPr>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（三）财政评价项目绩效评价结果。</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此项工作由省财政厅组织开展，结果未出，此次不予公开。</w:t>
      </w:r>
    </w:p>
    <w:p>
      <w:pPr>
        <w:spacing w:line="590" w:lineRule="exact"/>
        <w:ind w:firstLine="643" w:firstLineChars="200"/>
        <w:jc w:val="both"/>
        <w:rPr>
          <w:rFonts w:ascii="仿宋" w:hAnsi="仿宋" w:eastAsia="仿宋"/>
          <w:b/>
          <w:bCs/>
          <w:sz w:val="32"/>
          <w:szCs w:val="32"/>
        </w:rPr>
      </w:pPr>
      <w:r>
        <w:rPr>
          <w:rFonts w:hint="eastAsia" w:ascii="仿宋" w:hAnsi="仿宋" w:eastAsia="仿宋"/>
          <w:b/>
          <w:bCs/>
          <w:sz w:val="32"/>
          <w:szCs w:val="32"/>
        </w:rPr>
        <w:t>（四）部门评价项目绩效评价结果。</w:t>
      </w:r>
    </w:p>
    <w:p>
      <w:pPr>
        <w:spacing w:line="590" w:lineRule="exact"/>
        <w:ind w:firstLine="800" w:firstLineChars="250"/>
        <w:jc w:val="both"/>
        <w:rPr>
          <w:rFonts w:ascii="仿宋" w:hAnsi="仿宋" w:eastAsia="仿宋"/>
          <w:sz w:val="32"/>
          <w:szCs w:val="32"/>
        </w:rPr>
      </w:pPr>
      <w:r>
        <w:rPr>
          <w:rFonts w:hint="eastAsia" w:ascii="仿宋" w:hAnsi="仿宋" w:eastAsia="仿宋"/>
          <w:sz w:val="32"/>
          <w:szCs w:val="32"/>
        </w:rPr>
        <w:t>本单位不需开展此项工作，因此无。</w:t>
      </w:r>
    </w:p>
    <w:p>
      <w:pPr>
        <w:spacing w:line="590" w:lineRule="exact"/>
        <w:ind w:firstLine="803" w:firstLineChars="250"/>
        <w:jc w:val="both"/>
        <w:rPr>
          <w:rFonts w:ascii="仿宋" w:hAnsi="仿宋" w:eastAsia="仿宋" w:cs="黑体"/>
          <w:b/>
          <w:sz w:val="32"/>
          <w:szCs w:val="32"/>
        </w:rPr>
      </w:pPr>
      <w:r>
        <w:rPr>
          <w:rFonts w:hint="eastAsia" w:ascii="仿宋" w:hAnsi="仿宋" w:eastAsia="仿宋" w:cs="黑体"/>
          <w:b/>
          <w:sz w:val="32"/>
          <w:szCs w:val="32"/>
        </w:rPr>
        <w:t>十三、其他重要事项情况说明。</w:t>
      </w:r>
    </w:p>
    <w:p>
      <w:pPr>
        <w:spacing w:line="590" w:lineRule="exact"/>
        <w:ind w:firstLine="643" w:firstLineChars="200"/>
        <w:jc w:val="both"/>
        <w:rPr>
          <w:rFonts w:ascii="仿宋" w:hAnsi="仿宋" w:eastAsia="仿宋" w:cs="黑体"/>
          <w:b/>
          <w:sz w:val="32"/>
          <w:szCs w:val="32"/>
        </w:rPr>
      </w:pPr>
      <w:r>
        <w:rPr>
          <w:rFonts w:hint="eastAsia" w:ascii="仿宋" w:hAnsi="仿宋" w:eastAsia="仿宋" w:cs="黑体"/>
          <w:b/>
          <w:sz w:val="32"/>
          <w:szCs w:val="32"/>
        </w:rPr>
        <w:t>（一）机关运行经费支出情况。</w:t>
      </w:r>
    </w:p>
    <w:p>
      <w:pPr>
        <w:spacing w:line="590" w:lineRule="exact"/>
        <w:ind w:firstLine="640" w:firstLineChars="200"/>
        <w:jc w:val="both"/>
        <w:rPr>
          <w:rFonts w:ascii="仿宋" w:hAnsi="仿宋" w:eastAsia="仿宋" w:cs="黑体"/>
          <w:bCs/>
          <w:sz w:val="32"/>
          <w:szCs w:val="32"/>
        </w:rPr>
      </w:pPr>
      <w:r>
        <w:rPr>
          <w:rFonts w:hint="eastAsia" w:ascii="仿宋" w:hAnsi="仿宋" w:eastAsia="仿宋" w:cs="黑体"/>
          <w:bCs/>
          <w:sz w:val="32"/>
          <w:szCs w:val="32"/>
        </w:rPr>
        <w:t>海南省博物馆属于事业单位，因此无公开内容。</w:t>
      </w:r>
    </w:p>
    <w:p>
      <w:pPr>
        <w:spacing w:line="590" w:lineRule="exact"/>
        <w:ind w:firstLine="643" w:firstLineChars="200"/>
        <w:jc w:val="both"/>
        <w:rPr>
          <w:rFonts w:ascii="仿宋" w:hAnsi="仿宋" w:eastAsia="仿宋" w:cs="楷体"/>
          <w:b/>
          <w:bCs/>
          <w:sz w:val="32"/>
          <w:szCs w:val="32"/>
        </w:rPr>
      </w:pPr>
      <w:bookmarkStart w:id="88" w:name="_Toc23966_WPSOffice_Level2"/>
      <w:bookmarkStart w:id="89" w:name="_Toc3131_WPSOffice_Level2"/>
      <w:bookmarkStart w:id="90" w:name="_Toc32689_WPSOffice_Level2"/>
      <w:bookmarkStart w:id="91" w:name="_Toc30383_WPSOffice_Level2"/>
      <w:bookmarkStart w:id="92" w:name="_Toc13084_WPSOffice_Level2"/>
      <w:bookmarkStart w:id="93" w:name="_Toc25333_WPSOffice_Level2"/>
      <w:r>
        <w:rPr>
          <w:rFonts w:hint="eastAsia" w:ascii="仿宋" w:hAnsi="仿宋" w:eastAsia="仿宋" w:cs="楷体"/>
          <w:b/>
          <w:bCs/>
          <w:sz w:val="32"/>
          <w:szCs w:val="32"/>
        </w:rPr>
        <w:t>（二）政府采购支出情况。</w:t>
      </w:r>
      <w:bookmarkEnd w:id="88"/>
      <w:bookmarkEnd w:id="89"/>
      <w:bookmarkEnd w:id="90"/>
      <w:bookmarkEnd w:id="91"/>
      <w:bookmarkEnd w:id="92"/>
      <w:bookmarkEnd w:id="93"/>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2020年度我单位政府采购支出总额840.8万元，其中：政府采购货物支出10.28万元、政府采购服务支出830.51万元。授予中小企业合同金额0.00万元，占政府采购支出总额的0%，其中：授予小微企业合同金额0.00万元，占政府采购支出总额的</w:t>
      </w:r>
      <w:r>
        <w:rPr>
          <w:rFonts w:hint="eastAsia" w:ascii="仿宋" w:hAnsi="仿宋" w:eastAsia="仿宋"/>
          <w:sz w:val="32"/>
          <w:szCs w:val="32"/>
          <w:highlight w:val="none"/>
        </w:rPr>
        <w:t>0%</w:t>
      </w:r>
      <w:r>
        <w:rPr>
          <w:rFonts w:hint="eastAsia" w:ascii="仿宋" w:hAnsi="仿宋" w:eastAsia="仿宋"/>
          <w:sz w:val="32"/>
          <w:szCs w:val="32"/>
        </w:rPr>
        <w:t>。</w:t>
      </w:r>
    </w:p>
    <w:p>
      <w:pPr>
        <w:spacing w:line="590" w:lineRule="exact"/>
        <w:ind w:firstLine="643" w:firstLineChars="200"/>
        <w:jc w:val="both"/>
        <w:rPr>
          <w:rFonts w:ascii="仿宋" w:hAnsi="仿宋" w:eastAsia="仿宋" w:cs="楷体"/>
          <w:b/>
          <w:bCs/>
          <w:sz w:val="32"/>
          <w:szCs w:val="32"/>
        </w:rPr>
      </w:pPr>
      <w:bookmarkStart w:id="94" w:name="_Toc527_WPSOffice_Level2"/>
      <w:bookmarkStart w:id="95" w:name="_Toc6016_WPSOffice_Level2"/>
      <w:bookmarkStart w:id="96" w:name="_Toc15129_WPSOffice_Level2"/>
      <w:bookmarkStart w:id="97" w:name="_Toc10902_WPSOffice_Level2"/>
      <w:bookmarkStart w:id="98" w:name="_Toc19989_WPSOffice_Level2"/>
      <w:bookmarkStart w:id="99" w:name="_Toc29584_WPSOffice_Level2"/>
      <w:r>
        <w:rPr>
          <w:rFonts w:hint="eastAsia" w:ascii="仿宋" w:hAnsi="仿宋" w:eastAsia="仿宋" w:cs="楷体"/>
          <w:b/>
          <w:bCs/>
          <w:sz w:val="32"/>
          <w:szCs w:val="32"/>
        </w:rPr>
        <w:t>（三）国有资产占用情况。</w:t>
      </w:r>
      <w:bookmarkEnd w:id="94"/>
      <w:bookmarkEnd w:id="95"/>
      <w:bookmarkEnd w:id="96"/>
      <w:bookmarkEnd w:id="97"/>
      <w:bookmarkEnd w:id="98"/>
      <w:bookmarkEnd w:id="99"/>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截至2020年12月31日，本部门占用房屋面积0平方米，其中：办公用房0平方米，业务用房0平方米，其他（不含构筑物）0平方米。</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本单位共有车辆4辆，其中：从车辆种类说明：轿车1辆、越野车2辆、小型载客汽车0辆、大中型载客汽车辆、其他车型0辆，其他车型1辆；从车辆使用情况说明：副部（省）级及以上领导用车0辆、主要领导干部用车0辆、机要通信用车0辆、应急保障用车0辆、执法执勤用车0辆、特种专业技术用车0辆、离退休干部用车0辆、其他用车4辆。</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单位价值50万元（含）以上通用设备0台（套），单价100万元（含）以上专用设备0台（套）。</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年末在建工程85万元。</w:t>
      </w:r>
    </w:p>
    <w:p>
      <w:pPr>
        <w:spacing w:line="590" w:lineRule="exact"/>
        <w:ind w:firstLine="640" w:firstLineChars="200"/>
        <w:jc w:val="both"/>
        <w:rPr>
          <w:rFonts w:ascii="仿宋" w:hAnsi="仿宋" w:eastAsia="仿宋"/>
          <w:sz w:val="32"/>
          <w:szCs w:val="32"/>
        </w:rPr>
      </w:pPr>
    </w:p>
    <w:p>
      <w:pPr>
        <w:spacing w:line="590" w:lineRule="exact"/>
        <w:jc w:val="both"/>
        <w:rPr>
          <w:rFonts w:ascii="仿宋" w:hAnsi="仿宋" w:eastAsia="仿宋"/>
          <w:b/>
          <w:sz w:val="32"/>
          <w:szCs w:val="32"/>
        </w:rPr>
      </w:pPr>
      <w:bookmarkStart w:id="100" w:name="_Toc15425_WPSOffice_Level1"/>
      <w:bookmarkStart w:id="101" w:name="_Toc17580_WPSOffice_Level1"/>
      <w:bookmarkStart w:id="102" w:name="_Toc8808_WPSOffice_Level1"/>
      <w:bookmarkStart w:id="103" w:name="_Toc4398_WPSOffice_Level1"/>
      <w:bookmarkStart w:id="104" w:name="_Toc11039_WPSOffice_Level1"/>
      <w:bookmarkStart w:id="105" w:name="_Toc8874_WPSOffice_Level1"/>
      <w:r>
        <w:rPr>
          <w:rFonts w:hint="eastAsia" w:ascii="仿宋" w:hAnsi="仿宋" w:eastAsia="仿宋"/>
          <w:b/>
          <w:sz w:val="32"/>
          <w:szCs w:val="32"/>
        </w:rPr>
        <w:t>第四部分  名词解释</w:t>
      </w:r>
      <w:bookmarkEnd w:id="100"/>
      <w:bookmarkEnd w:id="101"/>
      <w:bookmarkEnd w:id="102"/>
      <w:bookmarkEnd w:id="103"/>
      <w:bookmarkEnd w:id="104"/>
      <w:bookmarkEnd w:id="105"/>
    </w:p>
    <w:p>
      <w:pPr>
        <w:spacing w:line="590" w:lineRule="exact"/>
        <w:jc w:val="both"/>
        <w:rPr>
          <w:rFonts w:ascii="仿宋" w:hAnsi="仿宋" w:eastAsia="仿宋"/>
          <w:sz w:val="32"/>
          <w:szCs w:val="32"/>
        </w:rPr>
      </w:pP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一、财政拨款收入：指本级财政当年拨付的资金。</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二、事业收入：指事业单位开展专业业务活动及辅助活动取得的收入。</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三、经营收入：指事业单位在专业业务活动及其辅助活动之外开展非独立核算经营活动取得的收入。</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四、其他收入：指除上述“财政拨款收入”“事业收入”“经营收入”等以外的收入。</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五、使用非财政拨款结余：指事业单位按照预算管理要求使用非财政拨款结余弥补收支差额的金额。</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六、年初结转和结余：指以前年度尚未完成、结转到本年按有关规定继续使用的资金。</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七、结余分配：指事业单位按规定提取的职工福利基金、事业基金和缴纳的所得税，以及建设单位按规定应交回的基本建设竣工项目结余资金。</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八、年末结转和结余：指本年度或以前年度预算安排、因客观条件发生变化无法按原计划实施，需要延迟到以后年度按有关规定继续使用的资金。</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九、基本支出：指为保障机构正常运转、完成日常工作任务而发生的人员支出和公用支出。</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十、项目支出：指在基本支出之外为完成特定行政任务和事业发展目标所发生的支出。</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十一、经营支出：指事业单位在专业业务活动及其辅助活动之外开展非独立核算经营活动发生的支出。</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十二、“三公”经费：纳入本级财政预决算管理的“三公”经费，是指本级部门用一般公共预算</w:t>
      </w:r>
      <w:r>
        <w:rPr>
          <w:rStyle w:val="11"/>
          <w:rFonts w:hint="eastAsia" w:ascii="仿宋" w:hAnsi="仿宋" w:eastAsia="仿宋"/>
          <w:sz w:val="32"/>
          <w:szCs w:val="32"/>
        </w:rPr>
        <w:t>财政财政</w:t>
      </w:r>
      <w:r>
        <w:rPr>
          <w:rFonts w:hint="eastAsia" w:ascii="仿宋" w:hAnsi="仿宋" w:eastAsia="仿宋"/>
          <w:sz w:val="32"/>
          <w:szCs w:val="32"/>
        </w:rPr>
        <w:t>拨款安排的因公出国（境）费、公务用车购置及运行费和公务接待费。其中，因公出国（境）</w:t>
      </w:r>
      <w:r>
        <w:rPr>
          <w:rStyle w:val="11"/>
          <w:rFonts w:hint="eastAsia" w:ascii="仿宋" w:hAnsi="仿宋" w:eastAsia="仿宋"/>
          <w:sz w:val="32"/>
          <w:szCs w:val="32"/>
        </w:rPr>
        <w:t>费反映</w:t>
      </w:r>
      <w:r>
        <w:rPr>
          <w:rFonts w:hint="eastAsia" w:ascii="仿宋" w:hAnsi="仿宋" w:eastAsia="仿宋"/>
          <w:sz w:val="32"/>
          <w:szCs w:val="32"/>
        </w:rPr>
        <w:t>单位公务出国（境）的国际旅费、国外城市间交通费、住宿费、伙食费、培训费、公杂费等支出；公务用车购置及运行</w:t>
      </w:r>
      <w:r>
        <w:rPr>
          <w:rStyle w:val="11"/>
          <w:rFonts w:hint="eastAsia" w:ascii="仿宋" w:hAnsi="仿宋" w:eastAsia="仿宋"/>
          <w:sz w:val="32"/>
          <w:szCs w:val="32"/>
        </w:rPr>
        <w:t>费反映</w:t>
      </w:r>
      <w:r>
        <w:rPr>
          <w:rFonts w:hint="eastAsia" w:ascii="仿宋" w:hAnsi="仿宋" w:eastAsia="仿宋"/>
          <w:sz w:val="32"/>
          <w:szCs w:val="32"/>
        </w:rPr>
        <w:t>单位公务用车车辆购置支出（</w:t>
      </w:r>
      <w:r>
        <w:rPr>
          <w:rStyle w:val="11"/>
          <w:rFonts w:hint="eastAsia" w:ascii="仿宋" w:hAnsi="仿宋" w:eastAsia="仿宋"/>
          <w:sz w:val="32"/>
          <w:szCs w:val="32"/>
        </w:rPr>
        <w:t>含车辆</w:t>
      </w:r>
      <w:r>
        <w:rPr>
          <w:rFonts w:hint="eastAsia" w:ascii="仿宋" w:hAnsi="仿宋" w:eastAsia="仿宋"/>
          <w:sz w:val="32"/>
          <w:szCs w:val="32"/>
        </w:rPr>
        <w:t>购置税）及租用费、燃料费、维修费、过路过桥费、保险费、安全奖励费用等支出；公务接待</w:t>
      </w:r>
      <w:r>
        <w:rPr>
          <w:rStyle w:val="11"/>
          <w:rFonts w:hint="eastAsia" w:ascii="仿宋" w:hAnsi="仿宋" w:eastAsia="仿宋"/>
          <w:sz w:val="32"/>
          <w:szCs w:val="32"/>
        </w:rPr>
        <w:t>费反映</w:t>
      </w:r>
      <w:r>
        <w:rPr>
          <w:rFonts w:hint="eastAsia" w:ascii="仿宋" w:hAnsi="仿宋" w:eastAsia="仿宋"/>
          <w:sz w:val="32"/>
          <w:szCs w:val="32"/>
        </w:rPr>
        <w:t>单位按规定开支的各类公务接待（含外宾接待）支出。</w:t>
      </w:r>
    </w:p>
    <w:p>
      <w:pPr>
        <w:spacing w:line="590" w:lineRule="exact"/>
        <w:ind w:firstLine="640" w:firstLineChars="200"/>
        <w:jc w:val="both"/>
        <w:rPr>
          <w:rFonts w:ascii="仿宋" w:hAnsi="仿宋" w:eastAsia="仿宋"/>
          <w:sz w:val="32"/>
          <w:szCs w:val="32"/>
        </w:rPr>
      </w:pPr>
      <w:r>
        <w:rPr>
          <w:rFonts w:hint="eastAsia" w:ascii="仿宋" w:hAnsi="仿宋" w:eastAsia="仿宋"/>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90" w:lineRule="exact"/>
        <w:jc w:val="both"/>
        <w:rPr>
          <w:rFonts w:ascii="仿宋" w:hAnsi="仿宋" w:eastAsia="仿宋"/>
          <w:sz w:val="32"/>
          <w:szCs w:val="32"/>
        </w:rPr>
      </w:pPr>
      <w:r>
        <w:rPr>
          <w:rFonts w:hint="eastAsia" w:ascii="仿宋" w:hAnsi="仿宋" w:eastAsia="仿宋"/>
          <w:sz w:val="32"/>
          <w:szCs w:val="32"/>
        </w:rPr>
        <w:t xml:space="preserve">    十四、支出功能分类的名词解释</w:t>
      </w:r>
    </w:p>
    <w:p>
      <w:pPr>
        <w:spacing w:line="590" w:lineRule="exact"/>
        <w:jc w:val="both"/>
        <w:rPr>
          <w:rFonts w:ascii="仿宋" w:hAnsi="仿宋" w:eastAsia="仿宋"/>
          <w:sz w:val="32"/>
          <w:szCs w:val="32"/>
        </w:rPr>
      </w:pPr>
      <w:r>
        <w:rPr>
          <w:rFonts w:hint="eastAsia" w:ascii="仿宋" w:hAnsi="仿宋" w:eastAsia="仿宋"/>
          <w:sz w:val="32"/>
          <w:szCs w:val="32"/>
        </w:rPr>
        <w:t>（一）文化旅游体育与传媒支出（类）文化和旅游（款）其他文化和旅游支出（项）反映用于文化和旅游方面的支出。</w:t>
      </w:r>
    </w:p>
    <w:p>
      <w:pPr>
        <w:spacing w:line="590" w:lineRule="exact"/>
        <w:jc w:val="both"/>
        <w:rPr>
          <w:rFonts w:ascii="仿宋" w:hAnsi="仿宋" w:eastAsia="仿宋"/>
          <w:sz w:val="32"/>
          <w:szCs w:val="32"/>
        </w:rPr>
      </w:pPr>
      <w:r>
        <w:rPr>
          <w:rFonts w:hint="eastAsia" w:ascii="仿宋" w:hAnsi="仿宋" w:eastAsia="仿宋"/>
          <w:sz w:val="32"/>
          <w:szCs w:val="32"/>
        </w:rPr>
        <w:t>（二）文化旅游体育与传媒支出（类）文物（款）文物保护（项）反映考古发掘及文物保护方面的支出。</w:t>
      </w:r>
    </w:p>
    <w:p>
      <w:pPr>
        <w:spacing w:line="590" w:lineRule="exact"/>
        <w:jc w:val="both"/>
        <w:rPr>
          <w:rFonts w:ascii="仿宋" w:hAnsi="仿宋" w:eastAsia="仿宋"/>
          <w:sz w:val="32"/>
          <w:szCs w:val="32"/>
        </w:rPr>
      </w:pPr>
      <w:r>
        <w:rPr>
          <w:rFonts w:hint="eastAsia" w:ascii="仿宋" w:hAnsi="仿宋" w:eastAsia="仿宋"/>
          <w:sz w:val="32"/>
          <w:szCs w:val="32"/>
        </w:rPr>
        <w:t>（三）文化旅游体育与传媒支出（类）文物（款）博物馆（项）反映博物馆的支出。</w:t>
      </w:r>
    </w:p>
    <w:p>
      <w:pPr>
        <w:spacing w:line="590" w:lineRule="exact"/>
        <w:jc w:val="both"/>
        <w:rPr>
          <w:rFonts w:ascii="仿宋" w:hAnsi="仿宋" w:eastAsia="仿宋"/>
          <w:sz w:val="32"/>
          <w:szCs w:val="32"/>
        </w:rPr>
      </w:pPr>
      <w:r>
        <w:rPr>
          <w:rFonts w:hint="eastAsia" w:ascii="仿宋" w:hAnsi="仿宋" w:eastAsia="仿宋"/>
          <w:sz w:val="32"/>
          <w:szCs w:val="32"/>
        </w:rPr>
        <w:t>（四）文化旅游体育与传媒支出（类）其他文化旅游体育与传媒支出（款）其他文化旅游体育与传媒支出（项）反映用于文化体育与传媒方面的支出。</w:t>
      </w:r>
    </w:p>
    <w:p>
      <w:pPr>
        <w:spacing w:line="590" w:lineRule="exact"/>
        <w:jc w:val="both"/>
        <w:rPr>
          <w:rFonts w:ascii="仿宋" w:hAnsi="仿宋" w:eastAsia="仿宋"/>
          <w:sz w:val="32"/>
          <w:szCs w:val="32"/>
        </w:rPr>
      </w:pPr>
      <w:r>
        <w:rPr>
          <w:rFonts w:hint="eastAsia" w:ascii="仿宋" w:hAnsi="仿宋" w:eastAsia="仿宋"/>
          <w:sz w:val="32"/>
          <w:szCs w:val="32"/>
        </w:rPr>
        <w:t>（五）社会保障和就业支出（类）行政事业单位养老支出（款）机关事业单位基本养老保险缴费支出（项）反映用于机关事业单位基本养老保险缴费支出。</w:t>
      </w:r>
    </w:p>
    <w:p>
      <w:pPr>
        <w:spacing w:line="590" w:lineRule="exact"/>
        <w:jc w:val="both"/>
        <w:rPr>
          <w:rFonts w:ascii="仿宋" w:hAnsi="仿宋" w:eastAsia="仿宋"/>
          <w:sz w:val="32"/>
          <w:szCs w:val="32"/>
        </w:rPr>
      </w:pPr>
      <w:r>
        <w:rPr>
          <w:rFonts w:hint="eastAsia" w:ascii="仿宋" w:hAnsi="仿宋" w:eastAsia="仿宋"/>
          <w:sz w:val="32"/>
          <w:szCs w:val="32"/>
        </w:rPr>
        <w:t>（六）社会保障和就业支出（类）行政事业单位养老支出（款）</w:t>
      </w:r>
      <w:r>
        <w:rPr>
          <w:rFonts w:ascii="仿宋" w:hAnsi="仿宋" w:eastAsia="仿宋"/>
          <w:sz w:val="32"/>
          <w:szCs w:val="32"/>
        </w:rPr>
        <w:t xml:space="preserve"> 机关事业单位职业年金缴费支出（项）反映用于机关事业单位职业年金缴费支出。</w:t>
      </w:r>
    </w:p>
    <w:p>
      <w:pPr>
        <w:spacing w:line="590" w:lineRule="exact"/>
        <w:jc w:val="both"/>
        <w:rPr>
          <w:rFonts w:ascii="仿宋" w:hAnsi="仿宋" w:eastAsia="仿宋"/>
          <w:sz w:val="32"/>
          <w:szCs w:val="32"/>
        </w:rPr>
      </w:pPr>
      <w:r>
        <w:rPr>
          <w:rFonts w:hint="eastAsia" w:ascii="仿宋" w:hAnsi="仿宋" w:eastAsia="仿宋"/>
          <w:sz w:val="32"/>
          <w:szCs w:val="32"/>
        </w:rPr>
        <w:t>（七）卫生健康支出（类）行政事业单位医疗（款）事业单位医疗（项）反映用于事业单位医疗保险缴费支出。</w:t>
      </w:r>
    </w:p>
    <w:p>
      <w:pPr>
        <w:spacing w:line="590" w:lineRule="exact"/>
        <w:jc w:val="both"/>
        <w:rPr>
          <w:rFonts w:ascii="仿宋" w:hAnsi="仿宋" w:eastAsia="仿宋"/>
          <w:sz w:val="32"/>
          <w:szCs w:val="32"/>
        </w:rPr>
      </w:pPr>
      <w:r>
        <w:rPr>
          <w:rFonts w:hint="eastAsia" w:ascii="仿宋" w:hAnsi="仿宋" w:eastAsia="仿宋"/>
          <w:sz w:val="32"/>
          <w:szCs w:val="32"/>
        </w:rPr>
        <w:t>（八）住房保障支出（类）住房改革支出（款）机关事业住房公积金（项）反映用于机关事业住房公积金缴费支出。</w:t>
      </w:r>
    </w:p>
    <w:sectPr>
      <w:footerReference r:id="rId4" w:type="default"/>
      <w:pgSz w:w="11907" w:h="16840"/>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rPr>
        <w:lang w:val="zh-CN"/>
      </w:rPr>
      <w:fldChar w:fldCharType="begin"/>
    </w:r>
    <w:r>
      <w:rPr>
        <w:lang w:val="zh-CN"/>
      </w:rPr>
      <w:instrText xml:space="preserve"> PAGE   \* MERGEFORMAT </w:instrText>
    </w:r>
    <w:r>
      <w:rPr>
        <w:lang w:val="zh-CN"/>
      </w:rPr>
      <w:fldChar w:fldCharType="separate"/>
    </w:r>
    <w:r>
      <w:rPr>
        <w:lang w:val="zh-CN"/>
      </w:rPr>
      <w:t>9</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isplayHorizontalDrawingGridEvery w:val="1"/>
  <w:displayVerticalDrawingGridEvery w:val="1"/>
  <w:noPunctuationKerning w:val="1"/>
  <w:characterSpacingControl w:val="doNotCompress"/>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qFormat/>
    <w:uiPriority w:val="1"/>
  </w:style>
  <w:style w:type="paragraph" w:styleId="2">
    <w:name w:val="Balloon Text"/>
    <w:basedOn w:val="1"/>
    <w:link w:val="14"/>
    <w:semiHidden/>
    <w:unhideWhenUsed/>
    <w:uiPriority w:val="99"/>
    <w:rPr>
      <w:sz w:val="18"/>
      <w:szCs w:val="18"/>
    </w:rPr>
  </w:style>
  <w:style w:type="paragraph" w:styleId="3">
    <w:name w:val="footer"/>
    <w:basedOn w:val="1"/>
    <w:link w:val="13"/>
    <w:unhideWhenUsed/>
    <w:qFormat/>
    <w:uiPriority w:val="99"/>
    <w:pPr>
      <w:tabs>
        <w:tab w:val="center" w:pos="4153"/>
        <w:tab w:val="right" w:pos="8306"/>
      </w:tabs>
      <w:snapToGrid w:val="0"/>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rPr/>
  </w:style>
  <w:style w:type="paragraph" w:customStyle="1" w:styleId="7">
    <w:name w:val="正文1 Char Char Char"/>
    <w:basedOn w:val="1"/>
    <w:qFormat/>
    <w:uiPriority w:val="0"/>
    <w:pPr>
      <w:widowControl w:val="0"/>
      <w:spacing w:line="360" w:lineRule="auto"/>
      <w:ind w:firstLine="200" w:firstLineChars="200"/>
      <w:jc w:val="both"/>
    </w:pPr>
    <w:rPr>
      <w:rFonts w:ascii="Times New Roman" w:hAnsi="Times New Roman" w:cs="Times New Roman"/>
      <w:kern w:val="2"/>
      <w:sz w:val="21"/>
    </w:rPr>
  </w:style>
  <w:style w:type="paragraph" w:customStyle="1" w:styleId="8">
    <w:name w:val="wpsoffice1"/>
    <w:basedOn w:val="1"/>
    <w:qFormat/>
    <w:uiPriority w:val="0"/>
    <w:pPr>
      <w:spacing w:before="100" w:beforeAutospacing="1" w:after="100" w:afterAutospacing="1"/>
    </w:pPr>
  </w:style>
  <w:style w:type="paragraph" w:customStyle="1" w:styleId="9">
    <w:name w:val="wpsoffice2"/>
    <w:basedOn w:val="1"/>
    <w:qFormat/>
    <w:uiPriority w:val="0"/>
    <w:pPr>
      <w:spacing w:before="100" w:beforeAutospacing="1" w:after="100" w:afterAutospacing="1"/>
    </w:pPr>
  </w:style>
  <w:style w:type="paragraph" w:customStyle="1" w:styleId="10">
    <w:name w:val="列出段落1"/>
    <w:basedOn w:val="1"/>
    <w:qFormat/>
    <w:uiPriority w:val="34"/>
    <w:pPr>
      <w:widowControl w:val="0"/>
      <w:ind w:firstLine="420" w:firstLineChars="200"/>
      <w:jc w:val="both"/>
    </w:pPr>
    <w:rPr>
      <w:rFonts w:ascii="Calibri" w:hAnsi="Calibri" w:cs="黑体"/>
      <w:kern w:val="2"/>
      <w:sz w:val="21"/>
      <w:szCs w:val="22"/>
    </w:rPr>
  </w:style>
  <w:style w:type="character" w:customStyle="1" w:styleId="11">
    <w:name w:val="grame"/>
    <w:basedOn w:val="5"/>
    <w:qFormat/>
    <w:uiPriority w:val="0"/>
    <w:rPr/>
  </w:style>
  <w:style w:type="character" w:customStyle="1" w:styleId="12">
    <w:name w:val="页眉 Char"/>
    <w:basedOn w:val="5"/>
    <w:link w:val="4"/>
    <w:qFormat/>
    <w:uiPriority w:val="99"/>
    <w:rPr>
      <w:rFonts w:ascii="宋体" w:hAnsi="宋体" w:eastAsia="宋体" w:cs="宋体"/>
      <w:sz w:val="18"/>
      <w:szCs w:val="18"/>
    </w:rPr>
  </w:style>
  <w:style w:type="character" w:customStyle="1" w:styleId="13">
    <w:name w:val="页脚 Char"/>
    <w:basedOn w:val="5"/>
    <w:link w:val="3"/>
    <w:qFormat/>
    <w:uiPriority w:val="99"/>
    <w:rPr>
      <w:rFonts w:ascii="宋体" w:hAnsi="宋体" w:eastAsia="宋体" w:cs="宋体"/>
      <w:sz w:val="18"/>
      <w:szCs w:val="18"/>
    </w:rPr>
  </w:style>
  <w:style w:type="character" w:customStyle="1" w:styleId="14">
    <w:name w:val="批注框文本 Char"/>
    <w:basedOn w:val="5"/>
    <w:link w:val="2"/>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1256</Words>
  <Characters>7160</Characters>
  <Lines>59</Lines>
  <Paragraphs>16</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2021-09-03T07:52:00Z</dcterms:created>
  <dc:creator>bgs-wxn</dc:creator>
  <cp:lastModifiedBy>邹丽娟</cp:lastModifiedBy>
  <cp:lastPrinted>2021-09-03T02:43:00Z</cp:lastPrinted>
  <dcterms:modified xsi:type="dcterms:W3CDTF">2021-09-04T09:42:03Z</dcterms:modified>
  <dc:title>DWZDM</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7A5E27ABE9EE465CB7D0758BD039C274</vt:lpwstr>
  </property>
</Properties>
</file>