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ascii="仿宋_GB2312" w:hAnsi="华文中宋"/>
          <w:bCs/>
          <w:sz w:val="36"/>
          <w:szCs w:val="44"/>
        </w:rPr>
      </w:pPr>
    </w:p>
    <w:p>
      <w:pPr>
        <w:snapToGrid w:val="0"/>
        <w:spacing w:line="578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海南省博物馆转移支付</w:t>
      </w:r>
    </w:p>
    <w:p>
      <w:pPr>
        <w:snapToGrid w:val="0"/>
        <w:spacing w:line="578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2022年度绩效自评报告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</w:p>
    <w:p>
      <w:pPr>
        <w:snapToGrid w:val="0"/>
        <w:spacing w:line="578" w:lineRule="exact"/>
        <w:ind w:left="640" w:hanging="640" w:hanging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根据琼财教〔2022〕308号和财教〔2022〕0087号文件，2022年度下达我馆珠崖岭城址考古发掘项目116万元，用于海口珠崖岭城址田野考古发掘及田野考古发掘资料整理。绩效指标内容设定为产出指标，其中有数量指标和质量指标；效益指标，设定有社会效益指标；满意度指标，设定有服务对象满意度指标。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二、绩效情况分析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（一）资金投入情况分析。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珠崖岭城址考古发掘项目资金到位116万元，到位率100%，执行数1</w:t>
      </w:r>
      <w:r>
        <w:rPr>
          <w:rFonts w:ascii="仿宋" w:hAnsi="仿宋" w:eastAsia="仿宋" w:cs="仿宋"/>
          <w:bCs/>
          <w:sz w:val="32"/>
          <w:szCs w:val="32"/>
        </w:rPr>
        <w:t>16</w:t>
      </w:r>
      <w:r>
        <w:rPr>
          <w:rFonts w:hint="eastAsia" w:ascii="仿宋" w:hAnsi="仿宋" w:eastAsia="仿宋" w:cs="仿宋"/>
          <w:bCs/>
          <w:sz w:val="32"/>
          <w:szCs w:val="32"/>
        </w:rPr>
        <w:t>万元，执行率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sz w:val="32"/>
          <w:szCs w:val="32"/>
        </w:rPr>
        <w:t>%。主要用于项目实施过程中产生的发掘费、发掘工作管理费、安全保卫费、占地补偿费等费用。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（二）资金管理情况分析。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珠崖岭城址考古发掘项目下达我馆资金116 万元，截止2022年底项目资金支出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92.8</w:t>
      </w:r>
      <w:r>
        <w:rPr>
          <w:rFonts w:hint="eastAsia" w:ascii="仿宋" w:hAnsi="仿宋" w:eastAsia="仿宋" w:cs="仿宋"/>
          <w:bCs/>
          <w:sz w:val="32"/>
          <w:szCs w:val="32"/>
        </w:rPr>
        <w:t>万元，2</w:t>
      </w:r>
      <w:r>
        <w:rPr>
          <w:rFonts w:ascii="仿宋" w:hAnsi="仿宋" w:eastAsia="仿宋" w:cs="仿宋"/>
          <w:bCs/>
          <w:sz w:val="32"/>
          <w:szCs w:val="32"/>
        </w:rPr>
        <w:t>023</w:t>
      </w:r>
      <w:r>
        <w:rPr>
          <w:rFonts w:hint="eastAsia" w:ascii="仿宋" w:hAnsi="仿宋" w:eastAsia="仿宋" w:cs="仿宋"/>
          <w:bCs/>
          <w:sz w:val="32"/>
          <w:szCs w:val="32"/>
        </w:rPr>
        <w:t>年3月项目资金支出2</w:t>
      </w:r>
      <w:r>
        <w:rPr>
          <w:rFonts w:ascii="仿宋" w:hAnsi="仿宋" w:eastAsia="仿宋" w:cs="仿宋"/>
          <w:bCs/>
          <w:sz w:val="32"/>
          <w:szCs w:val="32"/>
        </w:rPr>
        <w:t>3.2</w:t>
      </w:r>
      <w:r>
        <w:rPr>
          <w:rFonts w:hint="eastAsia" w:ascii="仿宋" w:hAnsi="仿宋" w:eastAsia="仿宋" w:cs="仿宋"/>
          <w:bCs/>
          <w:sz w:val="32"/>
          <w:szCs w:val="32"/>
        </w:rPr>
        <w:t>万元，合计支出1</w:t>
      </w:r>
      <w:r>
        <w:rPr>
          <w:rFonts w:ascii="仿宋" w:hAnsi="仿宋" w:eastAsia="仿宋" w:cs="仿宋"/>
          <w:bCs/>
          <w:sz w:val="32"/>
          <w:szCs w:val="32"/>
        </w:rPr>
        <w:t>16</w:t>
      </w:r>
      <w:r>
        <w:rPr>
          <w:rFonts w:hint="eastAsia" w:ascii="仿宋" w:hAnsi="仿宋" w:eastAsia="仿宋" w:cs="仿宋"/>
          <w:bCs/>
          <w:sz w:val="32"/>
          <w:szCs w:val="32"/>
        </w:rPr>
        <w:t>万元。项目资金管理均严格按照《海南省博物馆财务管理制度》执行，专款专用，支出均有相关的授权审批，资金拨付严格审批程序，使用规范。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（三）总体绩效目标完成情况分析。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项目总体绩效目标：完成田野考古发掘及田野考古发掘资料整理。截止2022年12月31日已完成施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工和发掘工作报告，并经过市文物局和我馆的初步验收。2</w:t>
      </w:r>
      <w:r>
        <w:rPr>
          <w:rFonts w:ascii="仿宋" w:hAnsi="仿宋" w:eastAsia="仿宋" w:cs="仿宋"/>
          <w:bCs/>
          <w:sz w:val="32"/>
          <w:szCs w:val="32"/>
        </w:rPr>
        <w:t>023</w:t>
      </w:r>
      <w:r>
        <w:rPr>
          <w:rFonts w:hint="eastAsia" w:ascii="仿宋" w:hAnsi="仿宋" w:eastAsia="仿宋" w:cs="仿宋"/>
          <w:bCs/>
          <w:sz w:val="32"/>
          <w:szCs w:val="32"/>
        </w:rPr>
        <w:t>年1月经省文物局审核评估通过，完成终验，绩效指标中的各项指标均达成。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（四）绩效指标完成情况分析。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1.产出指标</w:t>
      </w:r>
    </w:p>
    <w:p>
      <w:pPr>
        <w:snapToGrid w:val="0"/>
        <w:spacing w:line="578" w:lineRule="exact"/>
        <w:ind w:firstLine="960" w:firstLineChars="3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数量指标：全国重点文物保护单位考古发掘项目1个，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实际项目实施1个，位于</w:t>
      </w:r>
      <w:r>
        <w:rPr>
          <w:rFonts w:ascii="仿宋" w:hAnsi="仿宋" w:eastAsia="仿宋" w:cs="仿宋"/>
          <w:bCs/>
          <w:sz w:val="32"/>
          <w:szCs w:val="32"/>
        </w:rPr>
        <w:t>海口市琼山区</w:t>
      </w:r>
      <w:r>
        <w:fldChar w:fldCharType="begin"/>
      </w:r>
      <w:r>
        <w:instrText xml:space="preserve"> HYPERLINK "https://baike.baidu.com/item/%E9%BE%99%E5%A1%98%E9%95%87/9335352?fromModule=lemma_inlink" \t "_blank" </w:instrText>
      </w:r>
      <w:r>
        <w:fldChar w:fldCharType="separate"/>
      </w:r>
      <w:r>
        <w:rPr>
          <w:rFonts w:ascii="仿宋" w:hAnsi="仿宋" w:eastAsia="仿宋" w:cs="仿宋"/>
          <w:bCs/>
          <w:sz w:val="32"/>
          <w:szCs w:val="32"/>
        </w:rPr>
        <w:t>龙塘镇</w:t>
      </w:r>
      <w:r>
        <w:rPr>
          <w:rFonts w:ascii="仿宋" w:hAnsi="仿宋" w:eastAsia="仿宋" w:cs="仿宋"/>
          <w:bCs/>
          <w:sz w:val="32"/>
          <w:szCs w:val="32"/>
        </w:rPr>
        <w:fldChar w:fldCharType="end"/>
      </w:r>
      <w:r>
        <w:rPr>
          <w:rFonts w:ascii="仿宋" w:hAnsi="仿宋" w:eastAsia="仿宋" w:cs="仿宋"/>
          <w:bCs/>
          <w:sz w:val="32"/>
          <w:szCs w:val="32"/>
        </w:rPr>
        <w:t>博抚村东珠崖岭博抚村</w:t>
      </w:r>
      <w:r>
        <w:rPr>
          <w:rFonts w:hint="eastAsia" w:ascii="仿宋" w:hAnsi="仿宋" w:eastAsia="仿宋" w:cs="仿宋"/>
          <w:bCs/>
          <w:sz w:val="32"/>
          <w:szCs w:val="32"/>
        </w:rPr>
        <w:t>，本次发掘面积为546平方米，发现建筑基址2处、柱洞76个、灰坑24座，解剖北城墙一段，发现城外壕沟1条。城址发掘区出土唐代遗物标本300余件，城下探沟出土宋代遗物。</w:t>
      </w:r>
    </w:p>
    <w:p>
      <w:pPr>
        <w:snapToGrid w:val="0"/>
        <w:spacing w:line="578" w:lineRule="exact"/>
        <w:ind w:firstLine="960" w:firstLineChars="3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质量指标：安全事故发生率≤0.5%，项目实施发掘工地及文物库房过程中均无安全事故发生，安全事故发生率≤0.5%；文物损毁、违规修复发生率≤0.5%，项目实施发掘过程中无文物损毁、违规修复等相关情况发生，文物损毁、违规修复发生率≤0.5%；项目按计划完成率≥85%，项目实施完成并完成支付，资金使用率为</w:t>
      </w:r>
      <w:r>
        <w:rPr>
          <w:rFonts w:ascii="仿宋" w:hAnsi="仿宋" w:eastAsia="仿宋" w:cs="仿宋"/>
          <w:bCs/>
          <w:sz w:val="32"/>
          <w:szCs w:val="32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0%，项目按计划完成率≥85%。</w:t>
      </w:r>
    </w:p>
    <w:p>
      <w:pPr>
        <w:numPr>
          <w:ilvl w:val="0"/>
          <w:numId w:val="1"/>
        </w:num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效益产出指标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社会效益指标：提升文物保护水平与全民文物保护意识评定设定为优，本次考古工作在田野发掘、文物保护、资料整理和数据采集等各环节充分利用了先进科技手段，并在发掘过程中坚持重要遗迹原址保护的原则，做好遗迹现场保护及出土文物的修复，并为未来遗址公园或遗址博物馆建设预留展示内容和展示空间，并通过广泛参与媒体宣传，包括海南日报、海南新闻联播、海口日报等主流媒体，有效提升文物保护水平与全民文物保护意识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可持续影响指标：对中华优秀传统文化传承影响设置评定为优，本次发掘发现一批重要遗迹，出土大量唐代遗物。判断珠崖岭城址建造和主要使用年代为唐代，并有一定沿用时间，通过局部解剖确定了北城墙的主体结构与建造方式。本次发掘对于珠崖岭城址的布局和性质均有新认识，即城址西北部可能存在衙署建筑，城址东北部应该存在陶瓷砖瓦烧造作坊: 初步判明城址可能与唐代在海南岛设置的州县治所有关。此次发掘为判断珠崖岭城址的年代提供了一批重要材料，为明晰珠崖岭城址的性质提供了重要线索，并且为进一步加强城址保护利用工作提供了科学依据，有助于构建海南岛考古文化谱系，圆满实现预期目标。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3.满意度指标分析</w:t>
      </w:r>
    </w:p>
    <w:p>
      <w:pPr>
        <w:snapToGrid w:val="0"/>
        <w:spacing w:line="578" w:lineRule="exact"/>
        <w:ind w:firstLine="960" w:firstLineChars="3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服务对象满意度指标：社会公众对重点文物保护满意度≥90%，此次项目的发掘工地均做明显标识和围栏，发掘完毕后已做回填，对发掘现场已做妥善处理。本项目同时通过媒体广泛宣传，收到社会良好反响，社会公众对重点文物保护满意度≥90%。</w:t>
      </w:r>
    </w:p>
    <w:p>
      <w:pPr>
        <w:snapToGrid w:val="0"/>
        <w:spacing w:line="578" w:lineRule="exact"/>
        <w:ind w:firstLine="640" w:firstLineChars="200"/>
        <w:rPr>
          <w:rFonts w:ascii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snapToGrid w:val="0"/>
        <w:spacing w:line="578" w:lineRule="exact"/>
        <w:ind w:firstLine="640" w:firstLineChars="200"/>
        <w:outlineLvl w:val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海南岛因受疫情影响，该项目于2</w:t>
      </w:r>
      <w:r>
        <w:rPr>
          <w:rFonts w:ascii="仿宋" w:hAnsi="仿宋" w:eastAsia="仿宋" w:cs="仿宋"/>
          <w:bCs/>
          <w:sz w:val="32"/>
          <w:szCs w:val="32"/>
        </w:rPr>
        <w:t>022</w:t>
      </w:r>
      <w:r>
        <w:rPr>
          <w:rFonts w:hint="eastAsia" w:ascii="仿宋" w:hAnsi="仿宋" w:eastAsia="仿宋" w:cs="仿宋"/>
          <w:bCs/>
          <w:sz w:val="32"/>
          <w:szCs w:val="32"/>
        </w:rPr>
        <w:t>年12月底完成珠崖岭考古发掘工作并出具初步验收报告，2</w:t>
      </w:r>
      <w:r>
        <w:rPr>
          <w:rFonts w:ascii="仿宋" w:hAnsi="仿宋" w:eastAsia="仿宋" w:cs="仿宋"/>
          <w:bCs/>
          <w:sz w:val="32"/>
          <w:szCs w:val="32"/>
        </w:rPr>
        <w:t>022</w:t>
      </w:r>
      <w:r>
        <w:rPr>
          <w:rFonts w:hint="eastAsia" w:ascii="仿宋" w:hAnsi="仿宋" w:eastAsia="仿宋" w:cs="仿宋"/>
          <w:bCs/>
          <w:sz w:val="32"/>
          <w:szCs w:val="32"/>
        </w:rPr>
        <w:t>年支出率为</w:t>
      </w:r>
      <w:r>
        <w:rPr>
          <w:rFonts w:ascii="仿宋" w:hAnsi="仿宋" w:eastAsia="仿宋" w:cs="仿宋"/>
          <w:bCs/>
          <w:sz w:val="32"/>
          <w:szCs w:val="32"/>
        </w:rPr>
        <w:t>80</w:t>
      </w:r>
      <w:r>
        <w:rPr>
          <w:rFonts w:hint="eastAsia" w:ascii="仿宋" w:hAnsi="仿宋" w:eastAsia="仿宋" w:cs="仿宋"/>
          <w:bCs/>
          <w:sz w:val="32"/>
          <w:szCs w:val="32"/>
        </w:rPr>
        <w:t>%。2</w:t>
      </w:r>
      <w:r>
        <w:rPr>
          <w:rFonts w:ascii="仿宋" w:hAnsi="仿宋" w:eastAsia="仿宋" w:cs="仿宋"/>
          <w:bCs/>
          <w:sz w:val="32"/>
          <w:szCs w:val="32"/>
        </w:rPr>
        <w:t>023</w:t>
      </w:r>
      <w:r>
        <w:rPr>
          <w:rFonts w:hint="eastAsia" w:ascii="仿宋" w:hAnsi="仿宋" w:eastAsia="仿宋" w:cs="仿宋"/>
          <w:bCs/>
          <w:sz w:val="32"/>
          <w:szCs w:val="32"/>
        </w:rPr>
        <w:t>年1月该项目通过省级文物部门审核评估， 3月完成尾款支付，支出率达1</w:t>
      </w:r>
      <w:r>
        <w:rPr>
          <w:rFonts w:ascii="仿宋" w:hAnsi="仿宋" w:eastAsia="仿宋" w:cs="仿宋"/>
          <w:bCs/>
          <w:sz w:val="32"/>
          <w:szCs w:val="32"/>
        </w:rPr>
        <w:t>00</w:t>
      </w:r>
      <w:r>
        <w:rPr>
          <w:rFonts w:hint="eastAsia" w:ascii="仿宋" w:hAnsi="仿宋" w:eastAsia="仿宋" w:cs="仿宋"/>
          <w:bCs/>
          <w:sz w:val="32"/>
          <w:szCs w:val="32"/>
        </w:rPr>
        <w:t>%。今后</w:t>
      </w:r>
      <w:r>
        <w:rPr>
          <w:rFonts w:hint="eastAsia" w:ascii="仿宋_GB2312"/>
          <w:color w:val="000000"/>
          <w:sz w:val="32"/>
          <w:szCs w:val="32"/>
          <w:shd w:val="clear" w:color="auto" w:fill="FFFFFF"/>
        </w:rPr>
        <w:t>在绩效目标设置过程中将进一步结合工作实际和年度总体工作目标，提高各项指标的科学性、合理性和可量化性。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四、绩效自评结果拟应用和公开情况</w:t>
      </w:r>
    </w:p>
    <w:p>
      <w:pPr>
        <w:snapToGrid w:val="0"/>
        <w:spacing w:line="578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绩效评价结果的应用，既是开展绩效评价工作的基本前提，又是加强资金支出管理、强化资金管理水平、提高资金使用效益的重要手段你。我们将绩效评价结果按照规定在单位官网公开，接受群众监督。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>
      <w:pPr>
        <w:snapToGrid w:val="0"/>
        <w:spacing w:line="578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无</w:t>
      </w:r>
    </w:p>
    <w:p>
      <w:pPr>
        <w:snapToGrid w:val="0"/>
        <w:spacing w:line="578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六、附件</w:t>
      </w:r>
    </w:p>
    <w:p>
      <w:pPr>
        <w:snapToGrid w:val="0"/>
        <w:spacing w:line="578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转移支付区域（项目）绩效目标自评表</w:t>
      </w:r>
    </w:p>
    <w:p>
      <w:pPr>
        <w:snapToGrid w:val="0"/>
        <w:spacing w:line="578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CB101"/>
    <w:multiLevelType w:val="singleLevel"/>
    <w:tmpl w:val="05BCB1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5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OGVkMDY3MDBiNjU4Y2UyYzg4NWJiYzkzNGYxZWIifQ=="/>
  </w:docVars>
  <w:rsids>
    <w:rsidRoot w:val="00F57F82"/>
    <w:rsid w:val="000101E1"/>
    <w:rsid w:val="00023BBB"/>
    <w:rsid w:val="00053A39"/>
    <w:rsid w:val="00072BFB"/>
    <w:rsid w:val="000732DA"/>
    <w:rsid w:val="00075CDC"/>
    <w:rsid w:val="0008731E"/>
    <w:rsid w:val="00097158"/>
    <w:rsid w:val="000B1E8F"/>
    <w:rsid w:val="000B6964"/>
    <w:rsid w:val="000C2499"/>
    <w:rsid w:val="000C3931"/>
    <w:rsid w:val="000F4B4D"/>
    <w:rsid w:val="00102335"/>
    <w:rsid w:val="00103D16"/>
    <w:rsid w:val="00107B4D"/>
    <w:rsid w:val="00111638"/>
    <w:rsid w:val="00111928"/>
    <w:rsid w:val="001120A7"/>
    <w:rsid w:val="0012041C"/>
    <w:rsid w:val="00146C55"/>
    <w:rsid w:val="00151C22"/>
    <w:rsid w:val="00164D84"/>
    <w:rsid w:val="00173016"/>
    <w:rsid w:val="0017509C"/>
    <w:rsid w:val="001808CA"/>
    <w:rsid w:val="0018717C"/>
    <w:rsid w:val="001A4E46"/>
    <w:rsid w:val="001A7B2D"/>
    <w:rsid w:val="001C5090"/>
    <w:rsid w:val="001E03FE"/>
    <w:rsid w:val="001F581A"/>
    <w:rsid w:val="002123E8"/>
    <w:rsid w:val="002301B8"/>
    <w:rsid w:val="0023622F"/>
    <w:rsid w:val="00250053"/>
    <w:rsid w:val="002761B3"/>
    <w:rsid w:val="00280891"/>
    <w:rsid w:val="00290DF6"/>
    <w:rsid w:val="0029569C"/>
    <w:rsid w:val="002A5FA7"/>
    <w:rsid w:val="002A617E"/>
    <w:rsid w:val="002B3EEF"/>
    <w:rsid w:val="002B54E4"/>
    <w:rsid w:val="002E5562"/>
    <w:rsid w:val="002F2F1D"/>
    <w:rsid w:val="002F3CF1"/>
    <w:rsid w:val="002F6705"/>
    <w:rsid w:val="00301FC0"/>
    <w:rsid w:val="003055F2"/>
    <w:rsid w:val="00316A3E"/>
    <w:rsid w:val="00336A16"/>
    <w:rsid w:val="003379DA"/>
    <w:rsid w:val="00350ECA"/>
    <w:rsid w:val="00365368"/>
    <w:rsid w:val="003663A3"/>
    <w:rsid w:val="00387DD5"/>
    <w:rsid w:val="003B0980"/>
    <w:rsid w:val="003C6374"/>
    <w:rsid w:val="003D2CB9"/>
    <w:rsid w:val="003F30FF"/>
    <w:rsid w:val="003F52A4"/>
    <w:rsid w:val="004012A5"/>
    <w:rsid w:val="00413F12"/>
    <w:rsid w:val="0045505B"/>
    <w:rsid w:val="00493012"/>
    <w:rsid w:val="004A5D9A"/>
    <w:rsid w:val="004A6128"/>
    <w:rsid w:val="004D1915"/>
    <w:rsid w:val="004D2137"/>
    <w:rsid w:val="004D3E98"/>
    <w:rsid w:val="005104CF"/>
    <w:rsid w:val="0058106A"/>
    <w:rsid w:val="00582689"/>
    <w:rsid w:val="005D1514"/>
    <w:rsid w:val="005D7CC3"/>
    <w:rsid w:val="006218A1"/>
    <w:rsid w:val="00682A10"/>
    <w:rsid w:val="00683EFC"/>
    <w:rsid w:val="006A30E4"/>
    <w:rsid w:val="006A74BF"/>
    <w:rsid w:val="006C1CEE"/>
    <w:rsid w:val="006D5A86"/>
    <w:rsid w:val="00707C2E"/>
    <w:rsid w:val="00721F70"/>
    <w:rsid w:val="00722A7D"/>
    <w:rsid w:val="00724A6B"/>
    <w:rsid w:val="00724D43"/>
    <w:rsid w:val="0073331B"/>
    <w:rsid w:val="00733C2D"/>
    <w:rsid w:val="007353B2"/>
    <w:rsid w:val="007446BC"/>
    <w:rsid w:val="00756C7F"/>
    <w:rsid w:val="007C3AAC"/>
    <w:rsid w:val="007C6D1D"/>
    <w:rsid w:val="007D49D1"/>
    <w:rsid w:val="007D7E6E"/>
    <w:rsid w:val="00850797"/>
    <w:rsid w:val="00853FC4"/>
    <w:rsid w:val="008720F1"/>
    <w:rsid w:val="00882EFA"/>
    <w:rsid w:val="008B2F56"/>
    <w:rsid w:val="008C3EC9"/>
    <w:rsid w:val="008F0996"/>
    <w:rsid w:val="00902041"/>
    <w:rsid w:val="00903791"/>
    <w:rsid w:val="00910A9B"/>
    <w:rsid w:val="009600BD"/>
    <w:rsid w:val="00961C83"/>
    <w:rsid w:val="009842AF"/>
    <w:rsid w:val="009922BC"/>
    <w:rsid w:val="009E0D8C"/>
    <w:rsid w:val="009E1AA2"/>
    <w:rsid w:val="00A00424"/>
    <w:rsid w:val="00A02AF3"/>
    <w:rsid w:val="00A25077"/>
    <w:rsid w:val="00A403B0"/>
    <w:rsid w:val="00A52E4A"/>
    <w:rsid w:val="00A610CC"/>
    <w:rsid w:val="00A75558"/>
    <w:rsid w:val="00A84CB9"/>
    <w:rsid w:val="00A8737E"/>
    <w:rsid w:val="00AA19AF"/>
    <w:rsid w:val="00AA4ADB"/>
    <w:rsid w:val="00AC531F"/>
    <w:rsid w:val="00AE35FB"/>
    <w:rsid w:val="00AE3D87"/>
    <w:rsid w:val="00AE4458"/>
    <w:rsid w:val="00AF4F21"/>
    <w:rsid w:val="00B141D0"/>
    <w:rsid w:val="00B62FBB"/>
    <w:rsid w:val="00BB4BBC"/>
    <w:rsid w:val="00BC6882"/>
    <w:rsid w:val="00BC7FC5"/>
    <w:rsid w:val="00BD3FE0"/>
    <w:rsid w:val="00BE58CF"/>
    <w:rsid w:val="00BE695E"/>
    <w:rsid w:val="00C13DBC"/>
    <w:rsid w:val="00C42150"/>
    <w:rsid w:val="00C76982"/>
    <w:rsid w:val="00C8339C"/>
    <w:rsid w:val="00C86EFE"/>
    <w:rsid w:val="00CA1278"/>
    <w:rsid w:val="00CA1B0C"/>
    <w:rsid w:val="00CA5578"/>
    <w:rsid w:val="00CA619B"/>
    <w:rsid w:val="00CA7DAA"/>
    <w:rsid w:val="00CD3534"/>
    <w:rsid w:val="00D04826"/>
    <w:rsid w:val="00D05254"/>
    <w:rsid w:val="00D50A02"/>
    <w:rsid w:val="00D63908"/>
    <w:rsid w:val="00D8718A"/>
    <w:rsid w:val="00D91868"/>
    <w:rsid w:val="00D93453"/>
    <w:rsid w:val="00DA0F76"/>
    <w:rsid w:val="00DA18E8"/>
    <w:rsid w:val="00DA1C16"/>
    <w:rsid w:val="00DB7FC2"/>
    <w:rsid w:val="00DC524D"/>
    <w:rsid w:val="00DC6848"/>
    <w:rsid w:val="00DD357F"/>
    <w:rsid w:val="00E071D6"/>
    <w:rsid w:val="00E15711"/>
    <w:rsid w:val="00E34583"/>
    <w:rsid w:val="00E77DCB"/>
    <w:rsid w:val="00EA17B7"/>
    <w:rsid w:val="00EA241E"/>
    <w:rsid w:val="00ED3E0F"/>
    <w:rsid w:val="00EF6C52"/>
    <w:rsid w:val="00F015E4"/>
    <w:rsid w:val="00F153E2"/>
    <w:rsid w:val="00F35C66"/>
    <w:rsid w:val="00F57F82"/>
    <w:rsid w:val="00F75224"/>
    <w:rsid w:val="00F91EAE"/>
    <w:rsid w:val="00FA086C"/>
    <w:rsid w:val="00FA2093"/>
    <w:rsid w:val="00FA357A"/>
    <w:rsid w:val="00FC6344"/>
    <w:rsid w:val="01DA7C3D"/>
    <w:rsid w:val="02951E7B"/>
    <w:rsid w:val="037D0BC8"/>
    <w:rsid w:val="07037A46"/>
    <w:rsid w:val="08113415"/>
    <w:rsid w:val="0845082D"/>
    <w:rsid w:val="092E622C"/>
    <w:rsid w:val="095A0A62"/>
    <w:rsid w:val="09E965F2"/>
    <w:rsid w:val="0E934DE3"/>
    <w:rsid w:val="0FF7AA4F"/>
    <w:rsid w:val="139840D3"/>
    <w:rsid w:val="143E091F"/>
    <w:rsid w:val="14865FC8"/>
    <w:rsid w:val="150C2DB0"/>
    <w:rsid w:val="18FC8453"/>
    <w:rsid w:val="1A7D29EA"/>
    <w:rsid w:val="1D994BCF"/>
    <w:rsid w:val="1E5FB546"/>
    <w:rsid w:val="1E761F05"/>
    <w:rsid w:val="1F7BE1E6"/>
    <w:rsid w:val="1FC7205C"/>
    <w:rsid w:val="228B3D05"/>
    <w:rsid w:val="22EC33B5"/>
    <w:rsid w:val="284E74F8"/>
    <w:rsid w:val="289F591A"/>
    <w:rsid w:val="2ADB48E8"/>
    <w:rsid w:val="323C01B5"/>
    <w:rsid w:val="32CD4E63"/>
    <w:rsid w:val="36687282"/>
    <w:rsid w:val="367793B2"/>
    <w:rsid w:val="37205E97"/>
    <w:rsid w:val="3794FC37"/>
    <w:rsid w:val="387A33C4"/>
    <w:rsid w:val="38EF7AD8"/>
    <w:rsid w:val="3E1672E6"/>
    <w:rsid w:val="3EB9C2BB"/>
    <w:rsid w:val="3F7DAA47"/>
    <w:rsid w:val="3FEF6A07"/>
    <w:rsid w:val="415F08D8"/>
    <w:rsid w:val="44E2230F"/>
    <w:rsid w:val="48B51347"/>
    <w:rsid w:val="491B45FA"/>
    <w:rsid w:val="4A55216A"/>
    <w:rsid w:val="4D081922"/>
    <w:rsid w:val="4E73367B"/>
    <w:rsid w:val="4FE0696A"/>
    <w:rsid w:val="546F8569"/>
    <w:rsid w:val="55490415"/>
    <w:rsid w:val="55673508"/>
    <w:rsid w:val="59595A6F"/>
    <w:rsid w:val="597350B8"/>
    <w:rsid w:val="599330CA"/>
    <w:rsid w:val="5A7FCB1F"/>
    <w:rsid w:val="5ADF58DC"/>
    <w:rsid w:val="5C484A27"/>
    <w:rsid w:val="5FEAF7C9"/>
    <w:rsid w:val="5FEFA412"/>
    <w:rsid w:val="60D5009F"/>
    <w:rsid w:val="61CB771C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DEDB046"/>
    <w:rsid w:val="6E3E3F2D"/>
    <w:rsid w:val="6F9D25E5"/>
    <w:rsid w:val="6FE412D4"/>
    <w:rsid w:val="712F47B0"/>
    <w:rsid w:val="715B2F02"/>
    <w:rsid w:val="76A548F2"/>
    <w:rsid w:val="7765772E"/>
    <w:rsid w:val="776F5E62"/>
    <w:rsid w:val="77867685"/>
    <w:rsid w:val="77EE7FE7"/>
    <w:rsid w:val="781F36B6"/>
    <w:rsid w:val="790627AD"/>
    <w:rsid w:val="79DFF8C4"/>
    <w:rsid w:val="7A6339A8"/>
    <w:rsid w:val="7ADC59FA"/>
    <w:rsid w:val="7AFF2FC3"/>
    <w:rsid w:val="7B6F41DF"/>
    <w:rsid w:val="7BF6B4C5"/>
    <w:rsid w:val="7DDD794F"/>
    <w:rsid w:val="7DFA6624"/>
    <w:rsid w:val="7DFD8AD7"/>
    <w:rsid w:val="7DFEFB95"/>
    <w:rsid w:val="7ECD6B9A"/>
    <w:rsid w:val="7F7FE75F"/>
    <w:rsid w:val="7FBA576D"/>
    <w:rsid w:val="7FDE47D5"/>
    <w:rsid w:val="7FFD003D"/>
    <w:rsid w:val="94BFC172"/>
    <w:rsid w:val="9BFA614C"/>
    <w:rsid w:val="BAFE1E17"/>
    <w:rsid w:val="BBDF5B5A"/>
    <w:rsid w:val="BBE428C2"/>
    <w:rsid w:val="BD6F8907"/>
    <w:rsid w:val="BFBF52D7"/>
    <w:rsid w:val="C9FA7C05"/>
    <w:rsid w:val="DF6E82F1"/>
    <w:rsid w:val="DFCEE0CE"/>
    <w:rsid w:val="DFFF7077"/>
    <w:rsid w:val="EEBF76D9"/>
    <w:rsid w:val="F36EF6AC"/>
    <w:rsid w:val="F5BEA0BC"/>
    <w:rsid w:val="F6FDCC0E"/>
    <w:rsid w:val="F75204E9"/>
    <w:rsid w:val="F767D450"/>
    <w:rsid w:val="F76FB1DB"/>
    <w:rsid w:val="F7764ED3"/>
    <w:rsid w:val="F7FBEBBF"/>
    <w:rsid w:val="F9F3FBF0"/>
    <w:rsid w:val="FB9B969D"/>
    <w:rsid w:val="FB9F8FA2"/>
    <w:rsid w:val="FDB5389F"/>
    <w:rsid w:val="FF9D4583"/>
    <w:rsid w:val="FFAFB80B"/>
    <w:rsid w:val="FFF9F86D"/>
    <w:rsid w:val="FFFBF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1690</Words>
  <Characters>1788</Characters>
  <Lines>14</Lines>
  <Paragraphs>3</Paragraphs>
  <TotalTime>22</TotalTime>
  <ScaleCrop>false</ScaleCrop>
  <LinksUpToDate>false</LinksUpToDate>
  <CharactersWithSpaces>1804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2023-05-08T05:07:00Z</dcterms:created>
  <dc:creator>lhn</dc:creator>
  <cp:lastModifiedBy>吴晓妮</cp:lastModifiedBy>
  <cp:lastPrinted>2023-04-20T02:24:00Z</cp:lastPrinted>
  <dcterms:modified xsi:type="dcterms:W3CDTF">2023-05-25T07:08:35Z</dcterms:modified>
  <dc:title>财政支出绩效评价报告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6DD2410A8544465C8DD2F45798759937_13</vt:lpwstr>
  </property>
</Properties>
</file>