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b/>
          <w:bCs/>
          <w:kern w:val="2"/>
          <w:sz w:val="32"/>
          <w:szCs w:val="32"/>
          <w:lang w:val="en-US" w:eastAsia="zh-CN"/>
        </w:rPr>
      </w:pPr>
      <w:bookmarkStart w:id="0" w:name="_GoBack"/>
      <w:bookmarkEnd w:id="0"/>
      <w:r>
        <w:rPr>
          <w:rFonts w:hint="eastAsia" w:ascii="宋体" w:hAnsi="宋体" w:eastAsia="宋体" w:cs="宋体"/>
          <w:b/>
          <w:bCs/>
          <w:kern w:val="2"/>
          <w:sz w:val="32"/>
          <w:szCs w:val="32"/>
          <w:lang w:val="en-US" w:eastAsia="zh-CN"/>
        </w:rPr>
        <w:t>海南省博物馆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b/>
          <w:bCs/>
          <w:kern w:val="2"/>
          <w:sz w:val="32"/>
          <w:szCs w:val="32"/>
          <w:lang w:eastAsia="zh-CN"/>
        </w:rPr>
      </w:pPr>
      <w:r>
        <w:rPr>
          <w:rFonts w:hint="eastAsia" w:ascii="宋体" w:hAnsi="宋体" w:eastAsia="宋体" w:cs="宋体"/>
          <w:b/>
          <w:bCs/>
          <w:kern w:val="2"/>
          <w:sz w:val="32"/>
          <w:szCs w:val="32"/>
          <w:lang w:val="en-US" w:eastAsia="zh-CN"/>
        </w:rPr>
        <w:t>馆藏珍贵文物保护修复项目(2024年度）</w:t>
      </w:r>
      <w:r>
        <w:rPr>
          <w:rFonts w:hint="eastAsia" w:ascii="宋体" w:hAnsi="宋体" w:eastAsia="宋体" w:cs="宋体"/>
          <w:b/>
          <w:bCs/>
          <w:kern w:val="2"/>
          <w:sz w:val="32"/>
          <w:szCs w:val="32"/>
          <w:lang w:eastAsia="zh-CN"/>
        </w:rPr>
        <w:t>评审标准</w:t>
      </w:r>
    </w:p>
    <w:tbl>
      <w:tblPr>
        <w:tblStyle w:val="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200"/>
        <w:gridCol w:w="918"/>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76" w:type="pct"/>
            <w:vAlign w:val="center"/>
          </w:tcPr>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0" w:firstLineChars="0"/>
              <w:jc w:val="center"/>
              <w:textAlignment w:val="baseline"/>
              <w:outlineLvl w:val="9"/>
              <w:rPr>
                <w:rFonts w:hint="eastAsia" w:ascii="宋体" w:hAnsi="宋体" w:eastAsia="宋体" w:cs="宋体"/>
                <w:b/>
                <w:sz w:val="24"/>
                <w:szCs w:val="24"/>
              </w:rPr>
            </w:pPr>
            <w:r>
              <w:rPr>
                <w:rFonts w:hint="eastAsia" w:ascii="宋体" w:hAnsi="宋体" w:eastAsia="宋体" w:cs="宋体"/>
                <w:b/>
                <w:sz w:val="24"/>
                <w:szCs w:val="24"/>
              </w:rPr>
              <w:t>类别</w:t>
            </w:r>
          </w:p>
        </w:tc>
        <w:tc>
          <w:tcPr>
            <w:tcW w:w="704" w:type="pct"/>
            <w:vAlign w:val="center"/>
          </w:tcPr>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0" w:firstLineChars="0"/>
              <w:jc w:val="center"/>
              <w:textAlignment w:val="baseline"/>
              <w:outlineLvl w:val="9"/>
              <w:rPr>
                <w:rFonts w:hint="eastAsia" w:ascii="宋体" w:hAnsi="宋体" w:eastAsia="宋体" w:cs="宋体"/>
                <w:b/>
                <w:sz w:val="24"/>
                <w:szCs w:val="24"/>
              </w:rPr>
            </w:pPr>
            <w:r>
              <w:rPr>
                <w:rFonts w:hint="eastAsia" w:ascii="宋体" w:hAnsi="宋体" w:eastAsia="宋体" w:cs="宋体"/>
                <w:b/>
                <w:sz w:val="24"/>
                <w:szCs w:val="24"/>
              </w:rPr>
              <w:t>评审项目</w:t>
            </w:r>
          </w:p>
        </w:tc>
        <w:tc>
          <w:tcPr>
            <w:tcW w:w="539" w:type="pct"/>
            <w:vAlign w:val="center"/>
          </w:tcPr>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0" w:firstLineChars="0"/>
              <w:jc w:val="center"/>
              <w:textAlignment w:val="baseline"/>
              <w:outlineLvl w:val="9"/>
              <w:rPr>
                <w:rFonts w:hint="eastAsia" w:ascii="宋体" w:hAnsi="宋体" w:eastAsia="宋体" w:cs="宋体"/>
                <w:b/>
                <w:spacing w:val="-8"/>
                <w:sz w:val="24"/>
                <w:szCs w:val="24"/>
              </w:rPr>
            </w:pPr>
            <w:r>
              <w:rPr>
                <w:rFonts w:hint="eastAsia" w:ascii="宋体" w:hAnsi="宋体" w:eastAsia="宋体" w:cs="宋体"/>
                <w:b/>
                <w:spacing w:val="-8"/>
                <w:sz w:val="24"/>
                <w:szCs w:val="24"/>
              </w:rPr>
              <w:t>标准分</w:t>
            </w:r>
          </w:p>
        </w:tc>
        <w:tc>
          <w:tcPr>
            <w:tcW w:w="2879" w:type="pct"/>
            <w:vAlign w:val="center"/>
          </w:tcPr>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0" w:firstLineChars="0"/>
              <w:jc w:val="center"/>
              <w:textAlignment w:val="baseline"/>
              <w:outlineLvl w:val="9"/>
              <w:rPr>
                <w:rFonts w:hint="eastAsia" w:ascii="宋体" w:hAnsi="宋体" w:eastAsia="宋体" w:cs="宋体"/>
                <w:b/>
                <w:sz w:val="24"/>
                <w:szCs w:val="24"/>
              </w:rPr>
            </w:pPr>
            <w:r>
              <w:rPr>
                <w:rFonts w:hint="eastAsia" w:ascii="宋体" w:hAnsi="宋体" w:eastAsia="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sz w:val="24"/>
                <w:szCs w:val="24"/>
                <w:lang w:eastAsia="zh-CN"/>
              </w:rPr>
            </w:pPr>
            <w:r>
              <w:rPr>
                <w:rFonts w:hint="eastAsia" w:ascii="宋体" w:hAnsi="宋体" w:eastAsia="宋体" w:cs="宋体"/>
                <w:b/>
                <w:sz w:val="24"/>
                <w:szCs w:val="24"/>
              </w:rPr>
              <w:t>报价</w:t>
            </w:r>
            <w:r>
              <w:rPr>
                <w:rFonts w:hint="eastAsia" w:ascii="宋体" w:hAnsi="宋体" w:eastAsia="宋体" w:cs="宋体"/>
                <w:b/>
                <w:sz w:val="24"/>
                <w:szCs w:val="24"/>
              </w:rPr>
              <w:br w:type="textWrapping"/>
            </w:r>
            <w:r>
              <w:rPr>
                <w:rFonts w:hint="eastAsia" w:ascii="宋体" w:hAnsi="宋体" w:eastAsia="宋体" w:cs="宋体"/>
                <w:b/>
                <w:sz w:val="24"/>
                <w:szCs w:val="24"/>
                <w:lang w:eastAsia="zh-CN"/>
              </w:rPr>
              <w:t>（共</w:t>
            </w:r>
            <w:r>
              <w:rPr>
                <w:rFonts w:hint="eastAsia" w:ascii="宋体" w:hAnsi="宋体" w:eastAsia="宋体" w:cs="宋体"/>
                <w:b/>
                <w:sz w:val="24"/>
                <w:szCs w:val="24"/>
                <w:lang w:val="en-US" w:eastAsia="zh-CN"/>
              </w:rPr>
              <w:t>10分</w:t>
            </w:r>
            <w:r>
              <w:rPr>
                <w:rFonts w:hint="eastAsia" w:ascii="宋体" w:hAnsi="宋体" w:eastAsia="宋体" w:cs="宋体"/>
                <w:b/>
                <w:sz w:val="24"/>
                <w:szCs w:val="24"/>
                <w:lang w:eastAsia="zh-CN"/>
              </w:rPr>
              <w:t>）</w:t>
            </w:r>
          </w:p>
        </w:tc>
        <w:tc>
          <w:tcPr>
            <w:tcW w:w="704" w:type="pct"/>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sz w:val="24"/>
                <w:szCs w:val="24"/>
              </w:rPr>
            </w:pPr>
            <w:r>
              <w:rPr>
                <w:rFonts w:hint="eastAsia" w:ascii="宋体" w:hAnsi="宋体" w:eastAsia="宋体" w:cs="宋体"/>
                <w:b/>
                <w:sz w:val="24"/>
                <w:szCs w:val="24"/>
              </w:rPr>
              <w:t>报价分</w:t>
            </w:r>
          </w:p>
        </w:tc>
        <w:tc>
          <w:tcPr>
            <w:tcW w:w="539" w:type="pct"/>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10</w:t>
            </w:r>
          </w:p>
        </w:tc>
        <w:tc>
          <w:tcPr>
            <w:tcW w:w="2879" w:type="pct"/>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投标人报价得分＝（有效最低投标报价／该投标人报价）×10（保留1位小数点，第2位四舍五入，下同）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jc w:val="center"/>
        </w:trPr>
        <w:tc>
          <w:tcPr>
            <w:tcW w:w="876" w:type="pct"/>
            <w:vMerge w:val="restart"/>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资质业绩</w:t>
            </w:r>
            <w:r>
              <w:rPr>
                <w:rFonts w:hint="eastAsia" w:ascii="宋体" w:hAnsi="宋体" w:eastAsia="宋体" w:cs="宋体"/>
                <w:b/>
                <w:sz w:val="24"/>
                <w:szCs w:val="24"/>
                <w:lang w:eastAsia="zh-CN"/>
              </w:rPr>
              <w:t>（共</w:t>
            </w:r>
            <w:r>
              <w:rPr>
                <w:rFonts w:hint="eastAsia" w:ascii="宋体" w:hAnsi="宋体" w:eastAsia="宋体" w:cs="宋体"/>
                <w:b/>
                <w:sz w:val="24"/>
                <w:szCs w:val="24"/>
                <w:lang w:val="en-US" w:eastAsia="zh-CN"/>
              </w:rPr>
              <w:t>44分</w:t>
            </w:r>
            <w:r>
              <w:rPr>
                <w:rFonts w:hint="eastAsia" w:ascii="宋体" w:hAnsi="宋体" w:eastAsia="宋体" w:cs="宋体"/>
                <w:b/>
                <w:sz w:val="24"/>
                <w:szCs w:val="24"/>
                <w:lang w:eastAsia="zh-CN"/>
              </w:rPr>
              <w:t>）</w:t>
            </w:r>
          </w:p>
        </w:tc>
        <w:tc>
          <w:tcPr>
            <w:tcW w:w="704" w:type="pct"/>
            <w:vAlign w:val="center"/>
          </w:tcPr>
          <w:p>
            <w:pPr>
              <w:pStyle w:val="3"/>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文件</w:t>
            </w:r>
            <w:r>
              <w:rPr>
                <w:rFonts w:hint="eastAsia" w:ascii="宋体" w:hAnsi="宋体" w:eastAsia="宋体" w:cs="宋体"/>
                <w:b/>
                <w:sz w:val="24"/>
                <w:szCs w:val="24"/>
                <w:lang w:val="en-US" w:eastAsia="zh-CN" w:bidi="ar-SA"/>
              </w:rPr>
              <w:br w:type="textWrapping"/>
            </w:r>
            <w:r>
              <w:rPr>
                <w:rFonts w:hint="eastAsia" w:ascii="宋体" w:hAnsi="宋体" w:eastAsia="宋体" w:cs="宋体"/>
                <w:b/>
                <w:sz w:val="24"/>
                <w:szCs w:val="24"/>
                <w:lang w:val="en-US" w:eastAsia="zh-CN" w:bidi="ar-SA"/>
              </w:rPr>
              <w:t>完整性</w:t>
            </w:r>
          </w:p>
        </w:tc>
        <w:tc>
          <w:tcPr>
            <w:tcW w:w="539" w:type="pct"/>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879" w:type="pct"/>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exact"/>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1、法人代表人证明或其委托人的授权委托书。</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exact"/>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2、营业执照、信用证明等供应商资格证明相关材料。</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exact"/>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3、比选报价一览表及明细表。</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exact"/>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4、技术参数与商务参数响应情况。</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exact"/>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5、项目实施方案。</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exact"/>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6、团队人员配置情况。</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exact"/>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7、供应商相关业绩情况。</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exact"/>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8、供应商认为有必要提供的其他材料。</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exact"/>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以上8项内容，每项内容完备可得2分，每项内容不全面的得1分，没有不得分，最高都得16分。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Merge w:val="continue"/>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val="0"/>
                <w:bCs/>
                <w:sz w:val="24"/>
                <w:szCs w:val="24"/>
                <w:lang w:val="en-US" w:eastAsia="zh-CN"/>
              </w:rPr>
            </w:pPr>
          </w:p>
        </w:tc>
        <w:tc>
          <w:tcPr>
            <w:tcW w:w="704" w:type="pct"/>
            <w:vAlign w:val="center"/>
          </w:tcPr>
          <w:p>
            <w:pPr>
              <w:pStyle w:val="3"/>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企业相关资质</w:t>
            </w:r>
          </w:p>
        </w:tc>
        <w:tc>
          <w:tcPr>
            <w:tcW w:w="539" w:type="pct"/>
            <w:vAlign w:val="center"/>
          </w:tcPr>
          <w:p>
            <w:pPr>
              <w:pStyle w:val="3"/>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879" w:type="pct"/>
            <w:vAlign w:val="top"/>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具有省级（含）以上文物主管部门颁发的可移动文物技术保护修复资质业务范围涉及“纸质、金属、纺织品、陶质”四类材质中任意一项的，可得2分，最高得8分。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Merge w:val="continue"/>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val="0"/>
                <w:bCs/>
                <w:sz w:val="24"/>
                <w:szCs w:val="24"/>
                <w:lang w:val="en-US" w:eastAsia="zh-CN"/>
              </w:rPr>
            </w:pPr>
          </w:p>
        </w:tc>
        <w:tc>
          <w:tcPr>
            <w:tcW w:w="704" w:type="pct"/>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sz w:val="24"/>
                <w:szCs w:val="24"/>
                <w:lang w:eastAsia="zh-CN"/>
              </w:rPr>
            </w:pPr>
            <w:r>
              <w:rPr>
                <w:rFonts w:hint="eastAsia" w:ascii="宋体" w:hAnsi="宋体" w:eastAsia="宋体" w:cs="宋体"/>
                <w:b/>
                <w:sz w:val="24"/>
                <w:szCs w:val="24"/>
              </w:rPr>
              <w:t>同类业绩</w:t>
            </w:r>
          </w:p>
        </w:tc>
        <w:tc>
          <w:tcPr>
            <w:tcW w:w="539" w:type="pct"/>
            <w:vAlign w:val="center"/>
          </w:tcPr>
          <w:p>
            <w:pPr>
              <w:pStyle w:val="3"/>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879" w:type="pct"/>
            <w:vAlign w:val="top"/>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近五年内，供应商具有纸质、金属、纺织品、陶质任一材质文物的保护修复案例，</w:t>
            </w:r>
            <w:r>
              <w:rPr>
                <w:rFonts w:hint="eastAsia" w:ascii="宋体" w:hAnsi="宋体" w:eastAsia="宋体" w:cs="宋体"/>
                <w:b/>
                <w:bCs/>
                <w:sz w:val="24"/>
                <w:szCs w:val="24"/>
                <w:lang w:val="en-US" w:eastAsia="zh-CN"/>
              </w:rPr>
              <w:t>需提供相应中标通知书或合同复印件。</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（1）每提交1个近五年内全国十佳文物藏品修复项目案例，得4分，最多得4分；</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（2）每提交1个省级及以上文博单位可移动文物保护修复案例，得2分.最多的10分；</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（4）每提交一个省级以下文博单位可移动文物保护修复案例，得1分。此项最高得6分。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Merge w:val="restart"/>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技术部分</w:t>
            </w:r>
            <w:r>
              <w:rPr>
                <w:rFonts w:hint="eastAsia" w:ascii="宋体" w:hAnsi="宋体" w:eastAsia="宋体" w:cs="宋体"/>
                <w:b/>
                <w:sz w:val="24"/>
                <w:szCs w:val="24"/>
                <w:lang w:val="en-US" w:eastAsia="zh-CN"/>
              </w:rPr>
              <w:br w:type="textWrapping"/>
            </w:r>
            <w:r>
              <w:rPr>
                <w:rFonts w:hint="eastAsia" w:ascii="宋体" w:hAnsi="宋体" w:eastAsia="宋体" w:cs="宋体"/>
                <w:b/>
                <w:sz w:val="24"/>
                <w:szCs w:val="24"/>
                <w:lang w:val="en-US" w:eastAsia="zh-CN"/>
              </w:rPr>
              <w:t>（共46分）</w:t>
            </w:r>
          </w:p>
        </w:tc>
        <w:tc>
          <w:tcPr>
            <w:tcW w:w="704" w:type="pct"/>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实施方案</w:t>
            </w:r>
          </w:p>
        </w:tc>
        <w:tc>
          <w:tcPr>
            <w:tcW w:w="539" w:type="pct"/>
            <w:vAlign w:val="center"/>
          </w:tcPr>
          <w:p>
            <w:pPr>
              <w:pStyle w:val="3"/>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879" w:type="pct"/>
            <w:vAlign w:val="top"/>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根据供应商提供的项目实施方案进行评价：</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档，能全面了解文物基本情况与保存现状，工作目标明确，技术路线合理，保护修复措施具体有效，能准确评估项目风险并提出应对措施，对于保护修复后的文物能提供保存及使用条件建议，结合工期要求能合理安排项目工作量与进度，注重项目安全管理。得：24-30分；</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档，能较全面的了解文物基本情况与保存现状，工作目标明确，技术路线合理，保护修复措施具体有效，能评估项目风险并提出应对措施，对于保护修复后的文物能提供保存及使用条件建议，结合工期要求能合理安排项目工作量与进度。得：18-23.5分；</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档，能基本了解文物基本情况与保存现状，工作目标较明确，技术路线较合理，保护修复措施较有效，能评估项目风险，对于保护修复后的文物能提供保存及使用条件建议，能结合工期要求安排项目工作量与进度。得：12-17.5分。</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第四档，能基本了解文物基本情况与保存现状，工作目标较明确，技术路线基本合理，能提出保护修复措施，能结合工期要求安排项目工作量与进度。得：6-11.5分。</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第五档，方案完整性较差，能提出保护修复措施，能保障按期完工。得：0-5.5分。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Merge w:val="continue"/>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sz w:val="24"/>
                <w:szCs w:val="24"/>
              </w:rPr>
            </w:pPr>
          </w:p>
        </w:tc>
        <w:tc>
          <w:tcPr>
            <w:tcW w:w="704" w:type="pct"/>
            <w:vMerge w:val="restart"/>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sz w:val="24"/>
                <w:szCs w:val="24"/>
                <w:lang w:val="en-US" w:eastAsia="zh-CN" w:bidi="ar-SA"/>
              </w:rPr>
            </w:pPr>
            <w:r>
              <w:rPr>
                <w:rFonts w:hint="eastAsia" w:ascii="宋体" w:hAnsi="宋体" w:eastAsia="宋体" w:cs="宋体"/>
                <w:b/>
                <w:sz w:val="24"/>
                <w:szCs w:val="24"/>
                <w:lang w:eastAsia="zh-CN"/>
              </w:rPr>
              <w:t>团队</w:t>
            </w:r>
            <w:r>
              <w:rPr>
                <w:rFonts w:hint="eastAsia" w:ascii="宋体" w:hAnsi="宋体" w:eastAsia="宋体" w:cs="宋体"/>
                <w:b/>
                <w:sz w:val="24"/>
                <w:szCs w:val="24"/>
                <w:lang w:val="en-US" w:eastAsia="zh-CN"/>
              </w:rPr>
              <w:t>人员配置</w:t>
            </w:r>
          </w:p>
        </w:tc>
        <w:tc>
          <w:tcPr>
            <w:tcW w:w="539" w:type="pct"/>
            <w:vMerge w:val="restart"/>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rPr>
              <w:t>16</w:t>
            </w:r>
          </w:p>
        </w:tc>
        <w:tc>
          <w:tcPr>
            <w:tcW w:w="2879" w:type="pct"/>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根据供应商提供的项目实施团队的人员配备优劣进行比较：</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第一档，团队配置合理，团队人员具有相关专业资质占比不低于70%，专业性强，经验丰富。得6-8分；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第二档，团队配置较为合理，团队人员具有相关专业资质占比不低于40%，专业性较强，经验较丰富。得3-5.5分；</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第三档，团队配置构成基本合理、专业性欠缺或明显低于其他供应商的，得0-2.5分。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Merge w:val="continue"/>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sz w:val="24"/>
                <w:szCs w:val="24"/>
              </w:rPr>
            </w:pPr>
          </w:p>
        </w:tc>
        <w:tc>
          <w:tcPr>
            <w:tcW w:w="704" w:type="pct"/>
            <w:vMerge w:val="continue"/>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sz w:val="24"/>
                <w:szCs w:val="24"/>
              </w:rPr>
            </w:pPr>
          </w:p>
        </w:tc>
        <w:tc>
          <w:tcPr>
            <w:tcW w:w="539" w:type="pct"/>
            <w:vMerge w:val="continue"/>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center"/>
              <w:textAlignment w:val="baseline"/>
              <w:outlineLvl w:val="9"/>
              <w:rPr>
                <w:rFonts w:hint="eastAsia" w:ascii="宋体" w:hAnsi="宋体" w:eastAsia="宋体" w:cs="宋体"/>
                <w:b w:val="0"/>
                <w:bCs/>
                <w:sz w:val="24"/>
                <w:szCs w:val="24"/>
                <w:lang w:val="en-US" w:eastAsia="zh-CN"/>
              </w:rPr>
            </w:pPr>
          </w:p>
        </w:tc>
        <w:tc>
          <w:tcPr>
            <w:tcW w:w="2879" w:type="pct"/>
            <w:vAlign w:val="center"/>
          </w:tcPr>
          <w:p>
            <w:pPr>
              <w:keepNext w:val="0"/>
              <w:keepLines w:val="0"/>
              <w:pageBreakBefore w:val="0"/>
              <w:widowControl w:val="0"/>
              <w:kinsoku/>
              <w:wordWrap/>
              <w:overflowPunct/>
              <w:topLinePunct w:val="0"/>
              <w:autoSpaceDE/>
              <w:autoSpaceDN/>
              <w:bidi w:val="0"/>
              <w:adjustRightInd w:val="0"/>
              <w:snapToGrid/>
              <w:spacing w:before="79" w:beforeLines="25" w:after="79" w:afterLines="25" w:line="240" w:lineRule="auto"/>
              <w:ind w:firstLine="0" w:firstLineChars="0"/>
              <w:jc w:val="both"/>
              <w:textAlignment w:val="baseline"/>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每增加一名具备专业资质（文博类职称）的人员，得1分，最多得8分。</w:t>
            </w:r>
            <w:r>
              <w:rPr>
                <w:rFonts w:hint="eastAsia" w:ascii="宋体" w:hAnsi="宋体" w:eastAsia="宋体" w:cs="宋体"/>
                <w:b/>
                <w:bCs/>
                <w:sz w:val="24"/>
                <w:szCs w:val="24"/>
                <w:lang w:val="en-US" w:eastAsia="zh-CN"/>
              </w:rPr>
              <w:t>需提供职称证书复印件及对应人员近3个月的社保缴纳证明。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81" w:type="pct"/>
            <w:gridSpan w:val="2"/>
            <w:vAlign w:val="center"/>
          </w:tcPr>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0" w:firstLineChars="0"/>
              <w:jc w:val="center"/>
              <w:textAlignment w:val="baseline"/>
              <w:outlineLvl w:val="9"/>
              <w:rPr>
                <w:rFonts w:hint="eastAsia" w:ascii="宋体" w:hAnsi="宋体" w:eastAsia="宋体" w:cs="宋体"/>
                <w:b/>
                <w:sz w:val="24"/>
                <w:szCs w:val="24"/>
              </w:rPr>
            </w:pPr>
            <w:r>
              <w:rPr>
                <w:rFonts w:hint="eastAsia" w:ascii="宋体" w:hAnsi="宋体" w:eastAsia="宋体" w:cs="宋体"/>
                <w:b/>
                <w:sz w:val="24"/>
                <w:szCs w:val="24"/>
              </w:rPr>
              <w:t>合计</w:t>
            </w:r>
          </w:p>
        </w:tc>
        <w:tc>
          <w:tcPr>
            <w:tcW w:w="539" w:type="pct"/>
            <w:vAlign w:val="center"/>
          </w:tcPr>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0" w:firstLineChars="0"/>
              <w:jc w:val="center"/>
              <w:textAlignment w:val="baseline"/>
              <w:outlineLvl w:val="9"/>
              <w:rPr>
                <w:rFonts w:hint="eastAsia" w:ascii="宋体" w:hAnsi="宋体" w:eastAsia="宋体" w:cs="宋体"/>
                <w:b/>
                <w:sz w:val="24"/>
                <w:szCs w:val="24"/>
              </w:rPr>
            </w:pPr>
            <w:r>
              <w:rPr>
                <w:rFonts w:hint="eastAsia" w:ascii="宋体" w:hAnsi="宋体" w:eastAsia="宋体" w:cs="宋体"/>
                <w:b/>
                <w:sz w:val="24"/>
                <w:szCs w:val="24"/>
              </w:rPr>
              <w:t>100</w:t>
            </w:r>
          </w:p>
        </w:tc>
        <w:tc>
          <w:tcPr>
            <w:tcW w:w="2879" w:type="pct"/>
            <w:vAlign w:val="top"/>
          </w:tcPr>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0" w:firstLineChars="0"/>
              <w:jc w:val="center"/>
              <w:textAlignment w:val="baseline"/>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分档打分的，同档次打分最小分值差为0.5分。</w:t>
            </w:r>
          </w:p>
        </w:tc>
      </w:tr>
    </w:tbl>
    <w:p>
      <w:pPr>
        <w:rPr>
          <w:sz w:val="10"/>
          <w:szCs w:val="1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YTA0ODlhMzcwNTBmMGI0MGUyOTQ2MWMyNmY5YmYifQ=="/>
    <w:docVar w:name="KSO_WPS_MARK_KEY" w:val="f944a0b8-eca0-4448-aadb-57396beedd7c"/>
  </w:docVars>
  <w:rsids>
    <w:rsidRoot w:val="52AD048D"/>
    <w:rsid w:val="2F9E23BE"/>
    <w:rsid w:val="52AD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tabs>
        <w:tab w:val="left" w:pos="0"/>
      </w:tabs>
      <w:ind w:left="482" w:firstLine="200" w:firstLineChars="200"/>
    </w:pPr>
    <w:rPr>
      <w:rFonts w:ascii="Times New Roman" w:hAnsi="Times New Roman" w:cs="宋体"/>
      <w:szCs w:val="20"/>
    </w:rPr>
  </w:style>
  <w:style w:type="paragraph" w:styleId="3">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1248</Words>
  <Characters>1306</Characters>
  <Lines>0</Lines>
  <Paragraphs>0</Paragraphs>
  <TotalTime>3</TotalTime>
  <ScaleCrop>false</ScaleCrop>
  <LinksUpToDate>false</LinksUpToDate>
  <CharactersWithSpaces>1306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2024-02-27T08:31:00Z</dcterms:created>
  <dc:creator>刘爱虹</dc:creator>
  <cp:lastModifiedBy>刘爱虹</cp:lastModifiedBy>
  <dcterms:modified xsi:type="dcterms:W3CDTF">2024-02-27T08:36:48Z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BFB94774E108496399A2B8E2EF62ED44</vt:lpwstr>
  </property>
</Properties>
</file>