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5DF89F">
      <w:pPr>
        <w:pStyle w:val="3"/>
        <w:widowControl/>
        <w:spacing w:line="525" w:lineRule="atLeast"/>
        <w:ind w:firstLine="225"/>
        <w:jc w:val="center"/>
        <w:rPr>
          <w:rStyle w:val="7"/>
          <w:rFonts w:hint="default" w:ascii="宋体" w:hAnsi="宋体" w:cs="宋体"/>
          <w:sz w:val="43"/>
          <w:szCs w:val="43"/>
        </w:rPr>
      </w:pPr>
      <w:r>
        <w:rPr>
          <w:rStyle w:val="7"/>
          <w:rFonts w:hint="default" w:cs="宋体"/>
          <w:sz w:val="43"/>
          <w:szCs w:val="43"/>
        </w:rPr>
        <w:t>2024</w:t>
      </w:r>
      <w:r>
        <w:rPr>
          <w:rStyle w:val="7"/>
          <w:rFonts w:hint="default" w:ascii="宋体" w:cs="宋体"/>
          <w:sz w:val="43"/>
          <w:szCs w:val="43"/>
        </w:rPr>
        <w:t>年综合运行事务</w:t>
      </w:r>
      <w:r>
        <w:rPr>
          <w:rStyle w:val="7"/>
          <w:rFonts w:hint="default" w:ascii="宋体" w:hAnsi="宋体" w:cs="宋体"/>
          <w:sz w:val="43"/>
          <w:szCs w:val="43"/>
        </w:rPr>
        <w:t>项目</w:t>
      </w:r>
    </w:p>
    <w:p w14:paraId="25C9B2F3">
      <w:pPr>
        <w:pStyle w:val="3"/>
        <w:widowControl/>
        <w:spacing w:line="525" w:lineRule="atLeast"/>
        <w:ind w:firstLine="225"/>
        <w:jc w:val="center"/>
        <w:rPr>
          <w:rFonts w:hint="default"/>
          <w:sz w:val="24"/>
          <w:szCs w:val="24"/>
        </w:rPr>
      </w:pPr>
      <w:r>
        <w:rPr>
          <w:rStyle w:val="7"/>
          <w:rFonts w:hint="default" w:ascii="宋体" w:hAnsi="宋体" w:cs="宋体"/>
          <w:sz w:val="43"/>
          <w:szCs w:val="43"/>
        </w:rPr>
        <w:t>绩效自评报告</w:t>
      </w:r>
      <w:r>
        <w:rPr>
          <w:rStyle w:val="7"/>
          <w:rFonts w:hint="default"/>
          <w:sz w:val="24"/>
          <w:szCs w:val="24"/>
        </w:rPr>
        <w:t xml:space="preserve"> </w:t>
      </w:r>
      <w:r>
        <w:rPr>
          <w:rFonts w:hint="eastAsia" w:ascii="仿宋_GB2312" w:eastAsia="仿宋_GB2312" w:cs="仿宋_GB2312"/>
          <w:sz w:val="31"/>
          <w:szCs w:val="31"/>
        </w:rPr>
        <w:t> </w:t>
      </w:r>
    </w:p>
    <w:p w14:paraId="0AE6A94D">
      <w:pPr>
        <w:pStyle w:val="3"/>
        <w:widowControl/>
        <w:spacing w:beforeAutospacing="0" w:afterAutospacing="0" w:line="525" w:lineRule="atLeast"/>
        <w:ind w:firstLine="620" w:firstLineChars="200"/>
        <w:jc w:val="both"/>
        <w:rPr>
          <w:rFonts w:hint="default" w:ascii="宋体" w:hAnsi="宋体" w:cs="宋体"/>
          <w:color w:val="000000"/>
          <w:sz w:val="27"/>
          <w:szCs w:val="27"/>
        </w:rPr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一、项目概况    </w:t>
      </w:r>
    </w:p>
    <w:p w14:paraId="76B03D1A">
      <w:pPr>
        <w:autoSpaceDE w:val="0"/>
        <w:spacing w:line="576" w:lineRule="exact"/>
        <w:ind w:firstLine="640" w:firstLineChars="200"/>
        <w:outlineLvl w:val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（一）项目基本情况</w:t>
      </w:r>
    </w:p>
    <w:p w14:paraId="566658EA">
      <w:pPr>
        <w:autoSpaceDE w:val="0"/>
        <w:spacing w:line="576" w:lineRule="exact"/>
        <w:ind w:firstLine="640" w:firstLineChars="200"/>
        <w:outlineLvl w:val="0"/>
        <w:rPr>
          <w:rFonts w:hint="eastAsia"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预算单位：海南省博物馆</w:t>
      </w:r>
    </w:p>
    <w:p w14:paraId="682B47BA">
      <w:pPr>
        <w:autoSpaceDE w:val="0"/>
        <w:spacing w:line="576" w:lineRule="exact"/>
        <w:ind w:firstLine="640" w:firstLineChars="200"/>
        <w:outlineLvl w:val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主管部门：海南省旅游和文化广电体育厅</w:t>
      </w:r>
    </w:p>
    <w:p w14:paraId="7DE49018">
      <w:pPr>
        <w:autoSpaceDE w:val="0"/>
        <w:spacing w:line="576" w:lineRule="exact"/>
        <w:ind w:firstLine="640" w:firstLineChars="200"/>
        <w:outlineLvl w:val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项目名称：</w:t>
      </w:r>
      <w:r>
        <w:rPr>
          <w:rFonts w:hint="eastAsia" w:ascii="仿宋_GB2312" w:hAnsi="宋体" w:eastAsia="仿宋_GB2312" w:cs="仿宋_GB2312"/>
          <w:sz w:val="32"/>
          <w:szCs w:val="32"/>
        </w:rPr>
        <w:t>综合运行事务项目</w:t>
      </w:r>
    </w:p>
    <w:p w14:paraId="49475878">
      <w:pPr>
        <w:autoSpaceDE w:val="0"/>
        <w:spacing w:line="576" w:lineRule="exact"/>
        <w:ind w:firstLine="640" w:firstLineChars="200"/>
        <w:outlineLvl w:val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项目概述：该</w:t>
      </w:r>
      <w:r>
        <w:rPr>
          <w:rFonts w:hint="eastAsia" w:ascii="仿宋_GB2312" w:hAnsi="宋体" w:eastAsia="仿宋_GB2312" w:cs="仿宋_GB2312"/>
          <w:sz w:val="32"/>
          <w:szCs w:val="32"/>
        </w:rPr>
        <w:t>项目属于运转类项目，项目资金</w:t>
      </w:r>
      <w:r>
        <w:rPr>
          <w:rFonts w:hint="eastAsia" w:ascii="仿宋_GB2312" w:eastAsia="仿宋_GB2312" w:cs="仿宋_GB2312"/>
          <w:sz w:val="32"/>
          <w:szCs w:val="32"/>
        </w:rPr>
        <w:t>主要用于</w:t>
      </w:r>
      <w:r>
        <w:rPr>
          <w:rFonts w:hint="eastAsia" w:ascii="仿宋_GB2312" w:hAnsi="宋体" w:eastAsia="仿宋_GB2312" w:cs="仿宋_GB2312"/>
          <w:sz w:val="32"/>
          <w:szCs w:val="32"/>
        </w:rPr>
        <w:t>劳务派遣人员</w:t>
      </w:r>
      <w:r>
        <w:rPr>
          <w:rFonts w:hint="eastAsia" w:ascii="仿宋_GB2312" w:eastAsia="仿宋_GB2312" w:cs="仿宋_GB2312"/>
          <w:sz w:val="32"/>
          <w:szCs w:val="32"/>
        </w:rPr>
        <w:t>费用</w:t>
      </w:r>
      <w:r>
        <w:rPr>
          <w:rFonts w:hint="eastAsia" w:ascii="仿宋_GB2312" w:hAnsi="宋体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馆区</w:t>
      </w:r>
      <w:r>
        <w:rPr>
          <w:rFonts w:hint="eastAsia" w:ascii="仿宋_GB2312" w:hAnsi="宋体" w:eastAsia="仿宋_GB2312" w:cs="仿宋_GB2312"/>
          <w:sz w:val="32"/>
          <w:szCs w:val="32"/>
        </w:rPr>
        <w:t>维修</w:t>
      </w:r>
      <w:r>
        <w:rPr>
          <w:rFonts w:hint="eastAsia" w:ascii="仿宋_GB2312" w:eastAsia="仿宋_GB2312" w:cs="仿宋_GB2312"/>
          <w:sz w:val="32"/>
          <w:szCs w:val="32"/>
        </w:rPr>
        <w:t>维护</w:t>
      </w:r>
      <w:r>
        <w:rPr>
          <w:rFonts w:hint="eastAsia" w:ascii="仿宋_GB2312" w:hAnsi="宋体" w:eastAsia="仿宋_GB2312" w:cs="仿宋_GB2312"/>
          <w:sz w:val="32"/>
          <w:szCs w:val="32"/>
        </w:rPr>
        <w:t>、</w:t>
      </w:r>
      <w:r>
        <w:rPr>
          <w:rFonts w:hint="default" w:ascii="仿宋_GB2312" w:eastAsia="仿宋_GB2312" w:cs="仿宋_GB2312"/>
          <w:sz w:val="32"/>
          <w:szCs w:val="32"/>
        </w:rPr>
        <w:t>游客餐饮中心运行管理、</w:t>
      </w:r>
      <w:r>
        <w:rPr>
          <w:rFonts w:hint="eastAsia" w:ascii="仿宋_GB2312" w:hAnsi="宋体" w:eastAsia="仿宋_GB2312" w:cs="仿宋_GB2312"/>
          <w:sz w:val="32"/>
          <w:szCs w:val="32"/>
        </w:rPr>
        <w:t>电费、消防维保等费用支出</w:t>
      </w:r>
      <w:r>
        <w:rPr>
          <w:rFonts w:hint="eastAsia" w:ascii="仿宋_GB2312" w:eastAsia="仿宋_GB2312" w:cs="仿宋_GB2312"/>
          <w:sz w:val="32"/>
          <w:szCs w:val="32"/>
        </w:rPr>
        <w:t>，保障了我馆全年正常运转。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  </w:t>
      </w:r>
    </w:p>
    <w:p w14:paraId="3AC6DD31">
      <w:pPr>
        <w:pStyle w:val="3"/>
        <w:widowControl/>
        <w:spacing w:beforeAutospacing="0" w:afterAutospacing="0" w:line="525" w:lineRule="atLeast"/>
        <w:ind w:firstLine="645"/>
        <w:rPr>
          <w:rFonts w:hint="default" w:ascii="宋体" w:hAnsi="宋体" w:cs="宋体"/>
          <w:color w:val="000000"/>
          <w:sz w:val="27"/>
          <w:szCs w:val="27"/>
        </w:rPr>
      </w:pP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（二）项目年度预算绩效目标和绩效指标设定情况 </w:t>
      </w:r>
    </w:p>
    <w:p w14:paraId="7FAC767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</w:t>
      </w: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项目</w:t>
      </w:r>
      <w:r>
        <w:rPr>
          <w:rFonts w:hint="default" w:ascii="仿宋_GB2312" w:eastAsia="仿宋_GB2312" w:cs="仿宋_GB2312"/>
          <w:kern w:val="2"/>
          <w:sz w:val="32"/>
          <w:szCs w:val="32"/>
        </w:rPr>
        <w:t>年度预算绩效</w:t>
      </w: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目标</w:t>
      </w:r>
    </w:p>
    <w:p w14:paraId="51C5A19E">
      <w:pPr>
        <w:pStyle w:val="3"/>
        <w:widowControl/>
        <w:spacing w:beforeAutospacing="0" w:afterAutospacing="0" w:line="525" w:lineRule="atLeast"/>
        <w:ind w:firstLine="620" w:firstLineChars="200"/>
        <w:rPr>
          <w:rFonts w:hint="default" w:ascii="仿宋_GB2312" w:hAnsi="宋体" w:eastAsia="仿宋_GB2312" w:cs="仿宋_GB2312"/>
          <w:color w:val="000000"/>
          <w:sz w:val="31"/>
          <w:szCs w:val="31"/>
        </w:rPr>
      </w:pP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项目资金主要用于博物馆正常运维所需的电费、劳务派遣人员费用、馆区维修、消防等相关支出，为博物馆正常运转提供保障。</w:t>
      </w:r>
    </w:p>
    <w:p w14:paraId="2A81E55F">
      <w:pPr>
        <w:numPr>
          <w:ilvl w:val="0"/>
          <w:numId w:val="0"/>
        </w:numPr>
        <w:autoSpaceDE w:val="0"/>
        <w:spacing w:line="576" w:lineRule="exact"/>
        <w:ind w:firstLine="640" w:firstLineChars="200"/>
        <w:outlineLvl w:val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2.项目绩效指标设定</w:t>
      </w:r>
    </w:p>
    <w:p w14:paraId="317A82E1">
      <w:pPr>
        <w:numPr>
          <w:ilvl w:val="0"/>
          <w:numId w:val="0"/>
        </w:numPr>
        <w:autoSpaceDE w:val="0"/>
        <w:spacing w:line="576" w:lineRule="exact"/>
        <w:ind w:firstLine="620" w:firstLineChars="200"/>
        <w:outlineLvl w:val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1"/>
          <w:szCs w:val="31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eastAsia="zh-CN"/>
        </w:rPr>
        <w:t>）</w:t>
      </w: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目标设定情况：</w:t>
      </w:r>
      <w:r>
        <w:rPr>
          <w:rFonts w:hint="eastAsia" w:ascii="仿宋_GB2312" w:hAnsi="宋体" w:eastAsia="仿宋_GB2312" w:cs="仿宋_GB2312"/>
          <w:sz w:val="32"/>
          <w:szCs w:val="32"/>
        </w:rPr>
        <w:t>产出指标：①</w:t>
      </w: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劳务派遣人员保障=12月</w:t>
      </w:r>
      <w:r>
        <w:rPr>
          <w:rFonts w:hint="eastAsia" w:ascii="仿宋_GB2312" w:hAnsi="宋体" w:eastAsia="仿宋_GB2312" w:cs="仿宋_GB2312"/>
          <w:sz w:val="32"/>
          <w:szCs w:val="32"/>
        </w:rPr>
        <w:t>；②馆舍维修面积</w:t>
      </w:r>
      <w:r>
        <w:rPr>
          <w:rFonts w:hint="default" w:ascii="仿宋_GB2312" w:hAnsi="宋体" w:eastAsia="仿宋_GB2312" w:cs="仿宋_GB2312"/>
          <w:sz w:val="32"/>
          <w:szCs w:val="32"/>
        </w:rPr>
        <w:t>≥5次</w:t>
      </w:r>
      <w:r>
        <w:rPr>
          <w:rFonts w:hint="eastAsia" w:ascii="仿宋_GB2312" w:hAnsi="宋体" w:eastAsia="仿宋_GB2312" w:cs="仿宋_GB2312"/>
          <w:sz w:val="32"/>
          <w:szCs w:val="32"/>
        </w:rPr>
        <w:t>；③消防建构筑检测≥1次；④消防系统维保≤80次；</w:t>
      </w:r>
    </w:p>
    <w:p w14:paraId="1E96BA42">
      <w:pPr>
        <w:autoSpaceDE w:val="0"/>
        <w:spacing w:line="576" w:lineRule="exact"/>
        <w:ind w:firstLine="640" w:firstLineChars="200"/>
        <w:outlineLvl w:val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2）</w:t>
      </w:r>
      <w:r>
        <w:rPr>
          <w:rFonts w:hint="eastAsia" w:ascii="仿宋_GB2312" w:hAnsi="宋体" w:eastAsia="仿宋_GB2312" w:cs="仿宋_GB2312"/>
          <w:sz w:val="32"/>
          <w:szCs w:val="32"/>
        </w:rPr>
        <w:t>效益指标：保障博物馆正常运转天数</w:t>
      </w:r>
      <w:r>
        <w:rPr>
          <w:rFonts w:hint="default" w:ascii="仿宋_GB2312" w:hAnsi="宋体" w:eastAsia="仿宋_GB2312" w:cs="仿宋_GB2312"/>
          <w:sz w:val="32"/>
          <w:szCs w:val="32"/>
        </w:rPr>
        <w:t>≥</w:t>
      </w:r>
      <w:r>
        <w:rPr>
          <w:rFonts w:hint="eastAsia" w:ascii="仿宋_GB2312" w:hAnsi="宋体" w:eastAsia="仿宋_GB2312" w:cs="仿宋_GB2312"/>
          <w:sz w:val="32"/>
          <w:szCs w:val="32"/>
        </w:rPr>
        <w:t>270天；</w:t>
      </w:r>
    </w:p>
    <w:p w14:paraId="6562D40D">
      <w:pPr>
        <w:autoSpaceDE w:val="0"/>
        <w:spacing w:line="576" w:lineRule="exact"/>
        <w:ind w:firstLine="640" w:firstLineChars="200"/>
        <w:outlineLvl w:val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3.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绩效指标完成情况</w:t>
      </w:r>
    </w:p>
    <w:p w14:paraId="412ECB39">
      <w:pPr>
        <w:numPr>
          <w:ilvl w:val="0"/>
          <w:numId w:val="0"/>
        </w:numPr>
        <w:autoSpaceDE w:val="0"/>
        <w:spacing w:line="576" w:lineRule="exact"/>
        <w:ind w:firstLine="620" w:firstLineChars="200"/>
        <w:outlineLvl w:val="0"/>
        <w:rPr>
          <w:rFonts w:hint="default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1"/>
          <w:szCs w:val="31"/>
          <w:lang w:eastAsia="zh-CN"/>
        </w:rPr>
        <w:t>(1)</w:t>
      </w:r>
      <w:r>
        <w:rPr>
          <w:rFonts w:hint="default" w:ascii="仿宋_GB2312" w:hAnsi="宋体" w:eastAsia="仿宋_GB2312" w:cs="仿宋_GB2312"/>
          <w:sz w:val="32"/>
          <w:szCs w:val="32"/>
        </w:rPr>
        <w:t>产出指标：①</w:t>
      </w: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劳务派遣人员保障12次</w:t>
      </w:r>
      <w:r>
        <w:rPr>
          <w:rFonts w:hint="default" w:ascii="仿宋_GB2312" w:hAnsi="宋体" w:eastAsia="仿宋_GB2312" w:cs="仿宋_GB2312"/>
          <w:sz w:val="32"/>
          <w:szCs w:val="32"/>
        </w:rPr>
        <w:t>；②馆舍维修面积17次；③消防建构筑检测1次；④消防系统维保≥75次；</w:t>
      </w:r>
    </w:p>
    <w:p w14:paraId="14CB86A1">
      <w:pPr>
        <w:pStyle w:val="3"/>
        <w:widowControl/>
        <w:spacing w:beforeAutospacing="0" w:afterAutospacing="0" w:line="525" w:lineRule="atLeast"/>
        <w:ind w:firstLine="620" w:firstLineChars="200"/>
        <w:rPr>
          <w:rFonts w:hint="default" w:ascii="仿宋_GB2312" w:hAnsi="宋体" w:eastAsia="仿宋_GB2312" w:cs="仿宋_GB2312"/>
          <w:color w:val="000000"/>
          <w:sz w:val="31"/>
          <w:szCs w:val="31"/>
        </w:rPr>
      </w:pPr>
      <w:r>
        <w:rPr>
          <w:rFonts w:hint="eastAsia" w:ascii="仿宋_GB2312" w:hAnsi="宋体" w:eastAsia="仿宋_GB2312" w:cs="仿宋_GB2312"/>
          <w:color w:val="000000"/>
          <w:sz w:val="31"/>
          <w:szCs w:val="31"/>
          <w:lang w:eastAsia="zh-CN"/>
        </w:rPr>
        <w:t>(2)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效益指标：保障博物馆正常运转天数313天</w:t>
      </w: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 xml:space="preserve">。            </w:t>
      </w:r>
    </w:p>
    <w:p w14:paraId="2C543D47">
      <w:pPr>
        <w:pStyle w:val="3"/>
        <w:widowControl/>
        <w:spacing w:beforeAutospacing="0" w:afterAutospacing="0" w:line="525" w:lineRule="atLeast"/>
        <w:ind w:firstLine="620" w:firstLineChars="200"/>
        <w:rPr>
          <w:rFonts w:hint="default" w:ascii="宋体" w:hAnsi="宋体" w:cs="宋体"/>
          <w:color w:val="000000"/>
          <w:sz w:val="27"/>
          <w:szCs w:val="27"/>
        </w:rPr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二、项目决策及资金使用管理情况</w:t>
      </w:r>
    </w:p>
    <w:p w14:paraId="65A431A3">
      <w:pPr>
        <w:pStyle w:val="3"/>
        <w:widowControl/>
        <w:spacing w:beforeAutospacing="0" w:afterAutospacing="0" w:line="525" w:lineRule="atLeast"/>
        <w:ind w:firstLine="645"/>
        <w:rPr>
          <w:rFonts w:hint="default" w:ascii="宋体" w:hAnsi="宋体" w:cs="宋体"/>
          <w:color w:val="000000"/>
          <w:sz w:val="27"/>
          <w:szCs w:val="27"/>
        </w:rPr>
      </w:pP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（一）项目决策情况</w:t>
      </w:r>
    </w:p>
    <w:p w14:paraId="7AEB9A87">
      <w:pPr>
        <w:pStyle w:val="3"/>
        <w:widowControl/>
        <w:spacing w:beforeAutospacing="0" w:afterAutospacing="0" w:line="525" w:lineRule="atLeast"/>
        <w:ind w:firstLine="645"/>
        <w:rPr>
          <w:rFonts w:hint="default" w:ascii="仿宋_GB2312" w:hAnsi="宋体" w:eastAsia="仿宋_GB2312" w:cs="仿宋_GB2312"/>
          <w:color w:val="000000"/>
          <w:sz w:val="31"/>
          <w:szCs w:val="31"/>
        </w:rPr>
      </w:pP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项目预算经馆务会研究审议通过后，向海南省财政厅申报项目预算资金。预算批复下达后，将相关的项目资金指标明确到各部门，各部门根据项目预算任务开展本部门的业务。200万元以上项目启动了政府采购招标工作，项目签订的合同和款项支出均为集体会议结果，决策依据清晰、准确。</w:t>
      </w:r>
    </w:p>
    <w:p w14:paraId="0A648ABE">
      <w:pPr>
        <w:pStyle w:val="3"/>
        <w:widowControl/>
        <w:spacing w:beforeAutospacing="0" w:afterAutospacing="0" w:line="525" w:lineRule="atLeast"/>
        <w:ind w:firstLine="645"/>
        <w:rPr>
          <w:rFonts w:hint="default" w:ascii="宋体" w:hAnsi="宋体" w:cs="宋体"/>
          <w:color w:val="000000"/>
          <w:sz w:val="27"/>
          <w:szCs w:val="27"/>
        </w:rPr>
      </w:pP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（二）项目资金安排落实、总投入等情况</w:t>
      </w:r>
    </w:p>
    <w:p w14:paraId="75A4F158">
      <w:pPr>
        <w:pStyle w:val="3"/>
        <w:widowControl/>
        <w:spacing w:beforeAutospacing="0" w:afterAutospacing="0" w:line="525" w:lineRule="atLeast"/>
        <w:ind w:firstLine="645"/>
        <w:rPr>
          <w:rFonts w:hint="default" w:ascii="宋体" w:hAnsi="宋体" w:cs="宋体"/>
          <w:color w:val="000000"/>
          <w:sz w:val="27"/>
          <w:szCs w:val="27"/>
        </w:rPr>
      </w:pP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预算情况如下：</w:t>
      </w:r>
    </w:p>
    <w:p w14:paraId="632DFD55">
      <w:pPr>
        <w:pStyle w:val="3"/>
        <w:widowControl/>
        <w:spacing w:beforeAutospacing="0" w:afterAutospacing="0" w:line="525" w:lineRule="atLeast"/>
        <w:ind w:firstLine="645"/>
        <w:rPr>
          <w:rFonts w:hint="default" w:ascii="仿宋_GB2312" w:hAnsi="宋体" w:eastAsia="仿宋_GB2312" w:cs="仿宋_GB2312"/>
          <w:color w:val="000000"/>
          <w:sz w:val="31"/>
          <w:szCs w:val="31"/>
        </w:rPr>
      </w:pP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资金总额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eastAsia="zh-CN"/>
        </w:rPr>
        <w:t>－</w:t>
      </w: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年初预算数660万元，资金总额全年预算数674.39万元；财政资金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eastAsia="zh-CN"/>
        </w:rPr>
        <w:t>－</w:t>
      </w: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年初预算数660万元，财政资金全年预算数674.39万元；专户年初预算数0万元，专户全年预算数0万元；年初预算数0万元，单位全年预算数0万元。</w:t>
      </w:r>
    </w:p>
    <w:p w14:paraId="3C860FB7">
      <w:pPr>
        <w:pStyle w:val="3"/>
        <w:widowControl/>
        <w:spacing w:beforeAutospacing="0" w:afterAutospacing="0" w:line="525" w:lineRule="atLeast"/>
        <w:ind w:firstLine="645"/>
        <w:rPr>
          <w:rFonts w:hint="default" w:ascii="宋体" w:hAnsi="宋体" w:cs="宋体"/>
          <w:color w:val="000000"/>
          <w:sz w:val="27"/>
          <w:szCs w:val="27"/>
        </w:rPr>
      </w:pP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（三）项目资金实际使用情况</w:t>
      </w:r>
    </w:p>
    <w:p w14:paraId="7124EFE9">
      <w:pPr>
        <w:pStyle w:val="3"/>
        <w:widowControl/>
        <w:spacing w:beforeAutospacing="0" w:afterAutospacing="0" w:line="525" w:lineRule="atLeast"/>
        <w:ind w:firstLine="645"/>
        <w:rPr>
          <w:rFonts w:hint="default" w:ascii="宋体" w:hAnsi="宋体" w:cs="宋体"/>
          <w:color w:val="000000"/>
          <w:sz w:val="27"/>
          <w:szCs w:val="27"/>
        </w:rPr>
      </w:pP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资金执行情况如下：</w:t>
      </w:r>
    </w:p>
    <w:p w14:paraId="6E5D594C">
      <w:pPr>
        <w:pStyle w:val="3"/>
        <w:widowControl/>
        <w:spacing w:beforeAutospacing="0" w:afterAutospacing="0" w:line="525" w:lineRule="atLeast"/>
        <w:ind w:firstLine="645"/>
        <w:rPr>
          <w:rFonts w:hint="default" w:ascii="仿宋_GB2312" w:hAnsi="宋体" w:eastAsia="仿宋_GB2312" w:cs="仿宋_GB2312"/>
          <w:color w:val="000000"/>
          <w:sz w:val="31"/>
          <w:szCs w:val="31"/>
        </w:rPr>
      </w:pP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资金总额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eastAsia="zh-CN"/>
        </w:rPr>
        <w:t>－</w:t>
      </w: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全年执行数673.22万元，资金总额执行率99.83%，其中：财政资金全年执行数673.22万元，财政资金执行率99.83%；专户全年执行数0万元，专户执行率0万元；单位全年执行数0万元，单位全年执行率0.00%。</w:t>
      </w:r>
    </w:p>
    <w:p w14:paraId="6A59B897">
      <w:pPr>
        <w:pStyle w:val="3"/>
        <w:widowControl/>
        <w:numPr>
          <w:ilvl w:val="0"/>
          <w:numId w:val="0"/>
        </w:numPr>
        <w:spacing w:beforeAutospacing="0" w:afterAutospacing="0" w:line="525" w:lineRule="atLeast"/>
        <w:ind w:firstLine="620" w:firstLineChars="200"/>
        <w:rPr>
          <w:rFonts w:hint="default" w:ascii="仿宋_GB2312" w:hAnsi="宋体" w:eastAsia="仿宋_GB2312" w:cs="仿宋_GB2312"/>
          <w:color w:val="000000"/>
          <w:sz w:val="31"/>
          <w:szCs w:val="31"/>
        </w:rPr>
      </w:pP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（四）项目资金管理情况</w:t>
      </w:r>
    </w:p>
    <w:p w14:paraId="03872EAB">
      <w:pPr>
        <w:keepNext w:val="0"/>
        <w:keepLines w:val="0"/>
        <w:widowControl w:val="0"/>
        <w:suppressLineNumbers w:val="0"/>
        <w:autoSpaceDE w:val="0"/>
        <w:autoSpaceDN/>
        <w:spacing w:line="576" w:lineRule="exact"/>
        <w:ind w:left="0" w:firstLine="640" w:firstLineChars="200"/>
        <w:jc w:val="both"/>
        <w:outlineLvl w:val="0"/>
        <w:rPr>
          <w:rFonts w:hint="default" w:ascii="仿宋_GB2312" w:hAnsi="宋体" w:eastAsia="仿宋_GB2312" w:cs="仿宋_GB2312"/>
          <w:kern w:val="2"/>
          <w:sz w:val="32"/>
          <w:szCs w:val="32"/>
        </w:rPr>
      </w:pPr>
      <w:r>
        <w:rPr>
          <w:rFonts w:hint="default" w:ascii="仿宋_GB2312" w:hAnsi="宋体" w:eastAsia="仿宋_GB2312" w:cs="仿宋_GB2312"/>
          <w:kern w:val="2"/>
          <w:sz w:val="32"/>
          <w:szCs w:val="32"/>
        </w:rPr>
        <w:t>项目资金支出按照单位财务管理制度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和会计核算制度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执行，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专款专用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，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无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挤占、挪用项目资金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的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情况。</w:t>
      </w:r>
    </w:p>
    <w:p w14:paraId="5E5A5C6A">
      <w:pPr>
        <w:pStyle w:val="3"/>
        <w:widowControl/>
        <w:numPr>
          <w:ilvl w:val="0"/>
          <w:numId w:val="0"/>
        </w:numPr>
        <w:spacing w:beforeAutospacing="0" w:afterAutospacing="0" w:line="525" w:lineRule="atLeast"/>
        <w:ind w:firstLine="620" w:firstLineChars="200"/>
        <w:rPr>
          <w:rFonts w:hint="default" w:ascii="宋体" w:hAnsi="宋体" w:cs="宋体"/>
          <w:color w:val="000000"/>
          <w:sz w:val="27"/>
          <w:szCs w:val="27"/>
        </w:rPr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三、项目组织实施情况</w:t>
      </w:r>
    </w:p>
    <w:p w14:paraId="6B40D50D">
      <w:pPr>
        <w:pStyle w:val="3"/>
        <w:widowControl/>
        <w:spacing w:beforeAutospacing="0" w:afterAutospacing="0" w:line="525" w:lineRule="atLeast"/>
        <w:ind w:firstLine="645"/>
        <w:rPr>
          <w:rFonts w:hint="default" w:ascii="仿宋_GB2312" w:hAnsi="宋体" w:eastAsia="仿宋_GB2312" w:cs="仿宋_GB2312"/>
          <w:color w:val="000000"/>
          <w:sz w:val="31"/>
          <w:szCs w:val="31"/>
        </w:rPr>
      </w:pP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（一）项目组织情况</w:t>
      </w:r>
    </w:p>
    <w:p w14:paraId="3D585A56">
      <w:pPr>
        <w:pStyle w:val="3"/>
        <w:widowControl/>
        <w:spacing w:beforeAutospacing="0" w:afterAutospacing="0" w:line="525" w:lineRule="atLeast"/>
        <w:ind w:firstLine="645"/>
        <w:rPr>
          <w:rFonts w:hint="default" w:ascii="仿宋_GB2312" w:hAnsi="宋体" w:eastAsia="仿宋_GB2312" w:cs="仿宋_GB2312"/>
          <w:color w:val="000000"/>
          <w:sz w:val="31"/>
          <w:szCs w:val="31"/>
        </w:rPr>
      </w:pP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1.招标方面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eastAsia="zh-CN"/>
        </w:rPr>
        <w:t>：</w:t>
      </w: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通过公开招标方式确定劳务派遣服务单位和消防维保单位，项目完成后及时组织相关人员进行验收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eastAsia="zh-CN"/>
        </w:rPr>
        <w:t>。</w:t>
      </w: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 xml:space="preserve"> </w:t>
      </w:r>
    </w:p>
    <w:p w14:paraId="03EC2C15">
      <w:pPr>
        <w:pStyle w:val="3"/>
        <w:widowControl/>
        <w:spacing w:beforeAutospacing="0" w:afterAutospacing="0" w:line="525" w:lineRule="atLeast"/>
        <w:ind w:firstLine="645"/>
        <w:rPr>
          <w:rFonts w:hint="eastAsia" w:ascii="仿宋_GB2312" w:hAnsi="宋体" w:eastAsia="仿宋_GB2312" w:cs="仿宋_GB2312"/>
          <w:color w:val="000000"/>
          <w:sz w:val="31"/>
          <w:szCs w:val="31"/>
          <w:lang w:eastAsia="zh-CN"/>
        </w:rPr>
      </w:pP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2.项目资金调整情况方面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eastAsia="zh-CN"/>
        </w:rPr>
        <w:t>：</w:t>
      </w: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该项目年初预算660万元，调剂后实际下达674.39万元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eastAsia="zh-CN"/>
        </w:rPr>
        <w:t>。</w:t>
      </w:r>
    </w:p>
    <w:p w14:paraId="36A9D8BD">
      <w:pPr>
        <w:pStyle w:val="3"/>
        <w:widowControl/>
        <w:spacing w:beforeAutospacing="0" w:afterAutospacing="0" w:line="525" w:lineRule="atLeast"/>
        <w:ind w:firstLine="645"/>
        <w:rPr>
          <w:rFonts w:hint="default" w:ascii="仿宋_GB2312" w:hAnsi="宋体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eastAsia="zh-CN"/>
        </w:rPr>
        <w:t>3.项目验收方面：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项目完成后，按照我馆财务管理制度组织相关人员进行验收，验收合格后方可支付相关款项。</w:t>
      </w:r>
    </w:p>
    <w:p w14:paraId="12432E91">
      <w:pPr>
        <w:pStyle w:val="3"/>
        <w:widowControl/>
        <w:spacing w:beforeAutospacing="0" w:afterAutospacing="0" w:line="525" w:lineRule="atLeast"/>
        <w:ind w:firstLine="645"/>
        <w:rPr>
          <w:rFonts w:hint="default" w:ascii="仿宋_GB2312" w:hAnsi="宋体" w:eastAsia="仿宋_GB2312" w:cs="仿宋_GB2312"/>
          <w:color w:val="000000"/>
          <w:sz w:val="31"/>
          <w:szCs w:val="31"/>
        </w:rPr>
      </w:pP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（二）项目管理情况</w:t>
      </w:r>
    </w:p>
    <w:p w14:paraId="30CF95EC">
      <w:pPr>
        <w:pStyle w:val="3"/>
        <w:widowControl/>
        <w:spacing w:beforeAutospacing="0" w:afterAutospacing="0" w:line="525" w:lineRule="atLeast"/>
        <w:ind w:firstLine="645"/>
        <w:rPr>
          <w:rFonts w:hint="default" w:ascii="仿宋_GB2312" w:hAnsi="宋体" w:eastAsia="仿宋_GB2312" w:cs="仿宋_GB2312"/>
          <w:color w:val="000000"/>
          <w:sz w:val="31"/>
          <w:szCs w:val="31"/>
        </w:rPr>
      </w:pP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根据《海南省博物馆财务管理办法》，项目预算批复下达后，将相关的项目资金指标明确到各部门，各部门项目负责人根据本部门项目预算任务，具体组织项目实施，对项目中的执行、验收等环节进行控制，办公室财务对项目的款项结算等环节进行管理和监督。</w:t>
      </w:r>
    </w:p>
    <w:p w14:paraId="6ED1BE35">
      <w:pPr>
        <w:pStyle w:val="3"/>
        <w:widowControl/>
        <w:spacing w:beforeAutospacing="0" w:afterAutospacing="0" w:line="525" w:lineRule="atLeast"/>
        <w:ind w:firstLine="645"/>
        <w:rPr>
          <w:rFonts w:hint="default" w:ascii="宋体" w:hAnsi="宋体" w:cs="宋体"/>
          <w:color w:val="000000"/>
          <w:sz w:val="27"/>
          <w:szCs w:val="27"/>
        </w:rPr>
      </w:pPr>
      <w:r>
        <w:rPr>
          <w:rFonts w:hint="eastAsia" w:ascii="黑体" w:hAnsi="宋体" w:eastAsia="黑体" w:cs="黑体"/>
          <w:color w:val="000000"/>
          <w:sz w:val="31"/>
          <w:szCs w:val="31"/>
        </w:rPr>
        <w:t>四、项目绩效情况</w:t>
      </w:r>
    </w:p>
    <w:p w14:paraId="52B0C33E">
      <w:pPr>
        <w:pStyle w:val="3"/>
        <w:widowControl/>
        <w:spacing w:beforeAutospacing="0" w:afterAutospacing="0" w:line="525" w:lineRule="atLeast"/>
        <w:ind w:firstLine="645"/>
        <w:rPr>
          <w:rFonts w:hint="default" w:ascii="仿宋_GB2312" w:hAnsi="宋体" w:eastAsia="仿宋_GB2312" w:cs="仿宋_GB2312"/>
          <w:color w:val="000000"/>
          <w:sz w:val="31"/>
          <w:szCs w:val="31"/>
        </w:rPr>
      </w:pP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（一）项目绩效目标完成情况</w:t>
      </w:r>
    </w:p>
    <w:p w14:paraId="305FC7C3">
      <w:pPr>
        <w:autoSpaceDE w:val="0"/>
        <w:spacing w:line="576" w:lineRule="exact"/>
        <w:ind w:firstLine="640" w:firstLineChars="200"/>
        <w:outlineLvl w:val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1.项目的经济性分析</w:t>
      </w:r>
    </w:p>
    <w:p w14:paraId="61752BA5">
      <w:pPr>
        <w:autoSpaceDE w:val="0"/>
        <w:spacing w:line="576" w:lineRule="exact"/>
        <w:ind w:firstLine="640" w:firstLineChars="200"/>
        <w:outlineLvl w:val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（1）项目成本（预算）控制情况</w:t>
      </w:r>
    </w:p>
    <w:p w14:paraId="42081639">
      <w:pPr>
        <w:autoSpaceDE w:val="0"/>
        <w:spacing w:line="576" w:lineRule="exact"/>
        <w:ind w:firstLine="640" w:firstLineChars="200"/>
        <w:outlineLvl w:val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本项目坚持以预算为依据，杜绝无预算或超预算开支，严格控制项目成本。</w:t>
      </w:r>
    </w:p>
    <w:p w14:paraId="4932967D">
      <w:pPr>
        <w:autoSpaceDE w:val="0"/>
        <w:spacing w:line="576" w:lineRule="exact"/>
        <w:ind w:firstLine="640" w:firstLineChars="200"/>
        <w:outlineLvl w:val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（2）项目成本（预算）节约情况</w:t>
      </w:r>
    </w:p>
    <w:p w14:paraId="652B3930">
      <w:pPr>
        <w:autoSpaceDE w:val="0"/>
        <w:spacing w:line="576" w:lineRule="exact"/>
        <w:ind w:firstLine="640" w:firstLineChars="200"/>
        <w:outlineLvl w:val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项目</w:t>
      </w:r>
      <w:r>
        <w:rPr>
          <w:rFonts w:hint="eastAsia" w:ascii="仿宋_GB2312" w:eastAsia="仿宋_GB2312" w:cs="仿宋_GB2312"/>
          <w:sz w:val="32"/>
          <w:szCs w:val="32"/>
        </w:rPr>
        <w:t>资金实际</w:t>
      </w:r>
      <w:r>
        <w:rPr>
          <w:rFonts w:hint="eastAsia" w:ascii="仿宋_GB2312" w:hAnsi="宋体" w:eastAsia="仿宋_GB2312" w:cs="仿宋_GB2312"/>
          <w:sz w:val="32"/>
          <w:szCs w:val="32"/>
        </w:rPr>
        <w:t>金额660万元，调剂资金14.39万元，</w:t>
      </w:r>
      <w:r>
        <w:rPr>
          <w:rFonts w:hint="eastAsia" w:ascii="仿宋_GB2312" w:eastAsia="仿宋_GB2312" w:cs="仿宋_GB2312"/>
          <w:sz w:val="32"/>
          <w:szCs w:val="32"/>
        </w:rPr>
        <w:t>实际</w:t>
      </w:r>
      <w:r>
        <w:rPr>
          <w:rFonts w:hint="eastAsia" w:ascii="仿宋_GB2312" w:hAnsi="宋体" w:eastAsia="仿宋_GB2312" w:cs="仿宋_GB2312"/>
          <w:sz w:val="32"/>
          <w:szCs w:val="32"/>
        </w:rPr>
        <w:t>支</w:t>
      </w:r>
      <w:r>
        <w:rPr>
          <w:rFonts w:hint="eastAsia" w:ascii="仿宋_GB2312" w:eastAsia="仿宋_GB2312" w:cs="仿宋_GB2312"/>
          <w:sz w:val="32"/>
          <w:szCs w:val="32"/>
        </w:rPr>
        <w:t>付</w:t>
      </w:r>
      <w:r>
        <w:rPr>
          <w:rFonts w:hint="eastAsia" w:ascii="仿宋_GB2312" w:hAnsi="宋体" w:eastAsia="仿宋_GB2312" w:cs="仿宋_GB2312"/>
          <w:sz w:val="32"/>
          <w:szCs w:val="32"/>
        </w:rPr>
        <w:t>金额673.22万元，项目成本控制良好。</w:t>
      </w:r>
    </w:p>
    <w:p w14:paraId="3901A6C2">
      <w:pPr>
        <w:pStyle w:val="3"/>
        <w:widowControl/>
        <w:spacing w:beforeAutospacing="0" w:afterAutospacing="0" w:line="525" w:lineRule="atLeast"/>
        <w:ind w:firstLine="645"/>
        <w:rPr>
          <w:rFonts w:hint="default" w:ascii="宋体" w:hAnsi="宋体" w:cs="宋体"/>
          <w:color w:val="000000"/>
          <w:sz w:val="27"/>
          <w:szCs w:val="27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2.项目的效率性分析</w:t>
      </w:r>
    </w:p>
    <w:p w14:paraId="733E145A">
      <w:pPr>
        <w:autoSpaceDE w:val="0"/>
        <w:spacing w:line="576" w:lineRule="exact"/>
        <w:ind w:firstLine="640" w:firstLineChars="200"/>
        <w:outlineLvl w:val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（1）项目的实施进度</w:t>
      </w:r>
    </w:p>
    <w:p w14:paraId="049052BA">
      <w:pPr>
        <w:widowControl/>
        <w:autoSpaceDE w:val="0"/>
        <w:spacing w:line="576" w:lineRule="exact"/>
        <w:ind w:firstLine="640" w:firstLineChars="200"/>
        <w:outlineLvl w:val="0"/>
        <w:rPr>
          <w:rFonts w:hint="eastAsia"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截至2024年末，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项目实施内容已按2024年预算项目实施计划完成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。</w:t>
      </w:r>
    </w:p>
    <w:p w14:paraId="5E2A9893">
      <w:pPr>
        <w:autoSpaceDE w:val="0"/>
        <w:spacing w:line="576" w:lineRule="exact"/>
        <w:ind w:firstLine="640" w:firstLineChars="200"/>
        <w:outlineLvl w:val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（2）项目的完成质量</w:t>
      </w:r>
    </w:p>
    <w:p w14:paraId="42E8FABB">
      <w:pPr>
        <w:autoSpaceDE w:val="0"/>
        <w:spacing w:line="576" w:lineRule="exact"/>
        <w:ind w:firstLine="640" w:firstLineChars="200"/>
        <w:outlineLvl w:val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项目的开展，保障了工作人员到位率、全天供电保障率，确保消防系统时刻处于有效运行状态，满足消防安全法规要求，及时发现并消除安全隐患，保障文物及人员安全。</w:t>
      </w:r>
    </w:p>
    <w:p w14:paraId="55514D74">
      <w:pPr>
        <w:autoSpaceDE w:val="0"/>
        <w:spacing w:line="576" w:lineRule="exact"/>
        <w:ind w:firstLine="640" w:firstLineChars="200"/>
        <w:outlineLvl w:val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3.项目的效益性分析</w:t>
      </w:r>
    </w:p>
    <w:p w14:paraId="0BB65086">
      <w:pPr>
        <w:autoSpaceDE w:val="0"/>
        <w:spacing w:line="576" w:lineRule="exact"/>
        <w:ind w:firstLine="640" w:firstLineChars="200"/>
        <w:outlineLvl w:val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（1）项目预期目标完成程度</w:t>
      </w:r>
    </w:p>
    <w:p w14:paraId="1C022AB2">
      <w:pPr>
        <w:autoSpaceDE w:val="0"/>
        <w:spacing w:line="576" w:lineRule="exact"/>
        <w:ind w:firstLine="640" w:firstLineChars="200"/>
        <w:outlineLvl w:val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该项目年度目标和绩效指标全部完成，保障了全年场馆正常运转。</w:t>
      </w:r>
    </w:p>
    <w:p w14:paraId="5DF1E189">
      <w:pPr>
        <w:autoSpaceDE w:val="0"/>
        <w:spacing w:line="576" w:lineRule="exact"/>
        <w:ind w:firstLine="640" w:firstLineChars="200"/>
        <w:outlineLvl w:val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（2）项目实施对经济和社会的影响</w:t>
      </w:r>
    </w:p>
    <w:p w14:paraId="432A23CF">
      <w:pPr>
        <w:autoSpaceDE w:val="0"/>
        <w:spacing w:line="576" w:lineRule="exact"/>
        <w:ind w:firstLine="640" w:firstLineChars="200"/>
        <w:outlineLvl w:val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项目</w:t>
      </w:r>
      <w:r>
        <w:rPr>
          <w:rFonts w:hint="eastAsia" w:asci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宋体" w:eastAsia="仿宋_GB2312" w:cs="仿宋_GB2312"/>
          <w:sz w:val="32"/>
          <w:szCs w:val="32"/>
        </w:rPr>
        <w:t>实施</w:t>
      </w:r>
      <w:r>
        <w:rPr>
          <w:rFonts w:hint="eastAsia" w:ascii="仿宋_GB2312" w:eastAsia="仿宋_GB2312" w:cs="仿宋_GB2312"/>
          <w:sz w:val="32"/>
          <w:szCs w:val="32"/>
        </w:rPr>
        <w:t>保证了文物安全，提升了公众参观体验感，有利于保证社会公众基本文化权益，促进全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民</w:t>
      </w:r>
      <w:r>
        <w:rPr>
          <w:rFonts w:hint="eastAsia" w:ascii="仿宋_GB2312" w:eastAsia="仿宋_GB2312" w:cs="仿宋_GB2312"/>
          <w:sz w:val="32"/>
          <w:szCs w:val="32"/>
        </w:rPr>
        <w:t>文化素质的提高。</w:t>
      </w:r>
    </w:p>
    <w:p w14:paraId="1979FE07">
      <w:pPr>
        <w:autoSpaceDE w:val="0"/>
        <w:spacing w:line="576" w:lineRule="exact"/>
        <w:ind w:firstLine="640" w:firstLineChars="200"/>
        <w:outlineLvl w:val="0"/>
        <w:rPr>
          <w:rFonts w:hint="eastAsia" w:ascii="仿宋_GB2312" w:eastAsia="仿宋_GB2312" w:cs="仿宋_GB2312"/>
          <w:sz w:val="32"/>
          <w:szCs w:val="32"/>
        </w:rPr>
      </w:pPr>
    </w:p>
    <w:p w14:paraId="0D6803E3">
      <w:pPr>
        <w:autoSpaceDE w:val="0"/>
        <w:spacing w:line="576" w:lineRule="exact"/>
        <w:ind w:firstLine="640" w:firstLineChars="200"/>
        <w:outlineLvl w:val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4.项目的可持续性分析</w:t>
      </w:r>
    </w:p>
    <w:p w14:paraId="1EA6AFB1">
      <w:pPr>
        <w:pStyle w:val="3"/>
        <w:widowControl/>
        <w:spacing w:beforeAutospacing="0" w:afterAutospacing="0" w:line="525" w:lineRule="atLeast"/>
        <w:ind w:firstLine="640" w:firstLineChars="200"/>
        <w:rPr>
          <w:rFonts w:hint="default" w:ascii="仿宋_GB2312" w:hAnsi="宋体" w:eastAsia="仿宋_GB2312" w:cs="仿宋_GB2312"/>
          <w:color w:val="000000"/>
          <w:sz w:val="31"/>
          <w:szCs w:val="31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博物馆是公益性窗口服务单位，国家及地方财政每年均全额拨款，</w:t>
      </w: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保障博物馆免费开放的可持续性。</w:t>
      </w:r>
    </w:p>
    <w:p w14:paraId="30D72274">
      <w:pPr>
        <w:pStyle w:val="3"/>
        <w:widowControl/>
        <w:spacing w:beforeAutospacing="0" w:afterAutospacing="0" w:line="525" w:lineRule="atLeast"/>
        <w:ind w:firstLine="620" w:firstLineChars="200"/>
        <w:rPr>
          <w:rFonts w:hint="default" w:ascii="宋体" w:hAnsi="宋体" w:cs="宋体"/>
          <w:color w:val="000000"/>
          <w:sz w:val="27"/>
          <w:szCs w:val="27"/>
        </w:rPr>
      </w:pP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（二）项目绩效目标未完成情况及原因分析</w:t>
      </w:r>
    </w:p>
    <w:p w14:paraId="6B392357">
      <w:pPr>
        <w:autoSpaceDE w:val="0"/>
        <w:spacing w:line="576" w:lineRule="exact"/>
        <w:ind w:firstLine="640" w:firstLineChars="200"/>
        <w:outlineLvl w:val="0"/>
        <w:rPr>
          <w:rFonts w:hint="default" w:ascii="仿宋_GB2312" w:hAnsi="宋体" w:eastAsia="仿宋_GB2312" w:cs="仿宋_GB2312"/>
          <w:sz w:val="32"/>
          <w:szCs w:val="32"/>
        </w:rPr>
      </w:pPr>
      <w:r>
        <w:rPr>
          <w:rFonts w:hint="default" w:ascii="仿宋_GB2312" w:hAnsi="宋体" w:eastAsia="仿宋_GB2312" w:cs="仿宋_GB2312"/>
          <w:sz w:val="32"/>
          <w:szCs w:val="32"/>
        </w:rPr>
        <w:t>项目设置的绩效目标均已完成。</w:t>
      </w:r>
    </w:p>
    <w:p w14:paraId="650C513E">
      <w:pPr>
        <w:pStyle w:val="3"/>
        <w:widowControl/>
        <w:spacing w:beforeAutospacing="0" w:afterAutospacing="0" w:line="525" w:lineRule="atLeast"/>
        <w:ind w:firstLine="645"/>
        <w:rPr>
          <w:rFonts w:hint="default" w:ascii="宋体" w:hAnsi="宋体" w:cs="宋体"/>
          <w:color w:val="000000"/>
          <w:sz w:val="27"/>
          <w:szCs w:val="27"/>
        </w:rPr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五、其他需要说明的问题</w:t>
      </w:r>
    </w:p>
    <w:p w14:paraId="0C5E4444">
      <w:pPr>
        <w:pStyle w:val="3"/>
        <w:widowControl/>
        <w:spacing w:beforeAutospacing="0" w:afterAutospacing="0" w:line="525" w:lineRule="atLeast"/>
        <w:ind w:firstLine="645"/>
        <w:rPr>
          <w:rFonts w:hint="default" w:ascii="仿宋_GB2312" w:hAnsi="宋体" w:eastAsia="仿宋_GB2312" w:cs="仿宋_GB2312"/>
          <w:color w:val="000000"/>
          <w:sz w:val="31"/>
          <w:szCs w:val="31"/>
        </w:rPr>
      </w:pP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（一）后续工作计划</w:t>
      </w:r>
    </w:p>
    <w:p w14:paraId="7927ED72">
      <w:pPr>
        <w:pStyle w:val="3"/>
        <w:widowControl/>
        <w:spacing w:beforeAutospacing="0" w:afterAutospacing="0" w:line="525" w:lineRule="atLeast"/>
        <w:ind w:firstLine="645"/>
        <w:rPr>
          <w:rFonts w:hint="default" w:ascii="仿宋_GB2312" w:hAnsi="宋体" w:eastAsia="仿宋_GB2312" w:cs="仿宋_GB2312"/>
          <w:color w:val="000000"/>
          <w:sz w:val="31"/>
          <w:szCs w:val="31"/>
        </w:rPr>
      </w:pP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绩效自评结果拟应用于下年度开展项目时作为改进管理的重要依据，同时加强评价结果的应用，对有效支出安排预算、低效支出压减预算、无效支出进行问责，切实提高单位预算绩效管理水平。</w:t>
      </w:r>
    </w:p>
    <w:p w14:paraId="138F350C">
      <w:pPr>
        <w:pStyle w:val="3"/>
        <w:widowControl/>
        <w:spacing w:beforeAutospacing="0" w:afterAutospacing="0" w:line="525" w:lineRule="atLeast"/>
        <w:ind w:firstLine="645"/>
        <w:rPr>
          <w:rFonts w:hint="default" w:ascii="仿宋_GB2312" w:hAnsi="宋体" w:eastAsia="仿宋_GB2312" w:cs="仿宋_GB2312"/>
          <w:color w:val="000000"/>
          <w:sz w:val="31"/>
          <w:szCs w:val="31"/>
        </w:rPr>
      </w:pP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（二）主要经验及做法</w:t>
      </w:r>
    </w:p>
    <w:p w14:paraId="7DB5AF05">
      <w:pPr>
        <w:pStyle w:val="3"/>
        <w:widowControl/>
        <w:spacing w:beforeAutospacing="0" w:afterAutospacing="0" w:line="525" w:lineRule="atLeast"/>
        <w:ind w:firstLine="620" w:firstLineChars="200"/>
        <w:rPr>
          <w:rFonts w:hint="default" w:ascii="仿宋_GB2312" w:hAnsi="宋体" w:eastAsia="仿宋_GB2312" w:cs="仿宋_GB2312"/>
          <w:color w:val="000000"/>
          <w:sz w:val="31"/>
          <w:szCs w:val="31"/>
        </w:rPr>
      </w:pP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公众通过免费参观博物馆，使博物馆的宣传教育功能得以更好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eastAsia="zh-CN"/>
        </w:rPr>
        <w:t>地</w:t>
      </w: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发挥，博物馆收藏的文化遗产得到更有效</w:t>
      </w:r>
      <w:bookmarkStart w:id="0" w:name="_GoBack"/>
      <w:r>
        <w:rPr>
          <w:rFonts w:hint="eastAsia" w:ascii="仿宋_GB2312" w:hAnsi="宋体" w:eastAsia="仿宋_GB2312" w:cs="仿宋_GB2312"/>
          <w:color w:val="000000"/>
          <w:sz w:val="31"/>
          <w:szCs w:val="31"/>
          <w:lang w:eastAsia="zh-CN"/>
        </w:rPr>
        <w:t>地</w:t>
      </w:r>
      <w:bookmarkEnd w:id="0"/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利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eastAsia="zh-CN"/>
        </w:rPr>
        <w:t>用</w:t>
      </w: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，从而产生更多更好的社会效益。</w:t>
      </w:r>
    </w:p>
    <w:p w14:paraId="38D13F02">
      <w:pPr>
        <w:pStyle w:val="3"/>
        <w:widowControl/>
        <w:spacing w:beforeAutospacing="0" w:afterAutospacing="0" w:line="525" w:lineRule="atLeast"/>
        <w:ind w:firstLine="620" w:firstLineChars="200"/>
        <w:rPr>
          <w:rFonts w:hint="default" w:ascii="宋体" w:hAnsi="宋体" w:cs="宋体"/>
          <w:color w:val="000000"/>
          <w:sz w:val="27"/>
          <w:szCs w:val="27"/>
        </w:rPr>
      </w:pP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（三）存在问题及建议</w:t>
      </w:r>
    </w:p>
    <w:p w14:paraId="3FE96F57">
      <w:pPr>
        <w:ind w:firstLine="620" w:firstLineChars="200"/>
        <w:rPr>
          <w:rFonts w:hint="default"/>
          <w:sz w:val="21"/>
          <w:szCs w:val="24"/>
        </w:rPr>
      </w:pPr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2024年因观众流量大，延时闭馆和借展文物的温湿度需求等因素导致耗电量增加，电费不足。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后续将结合当前的主要工作，征求收集各方意见后合理设定绩效目标。</w:t>
      </w: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9987F2E"/>
    <w:rsid w:val="3AC60095"/>
    <w:rsid w:val="3FCB4B12"/>
    <w:rsid w:val="47E81FD1"/>
    <w:rsid w:val="49B44860"/>
    <w:rsid w:val="5AB02F96"/>
    <w:rsid w:val="72353109"/>
    <w:rsid w:val="7A9633CD"/>
    <w:rsid w:val="7B263B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0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0"/>
    <w:rPr>
      <w:rFonts w:hint="default"/>
      <w:sz w:val="24"/>
      <w:szCs w:val="24"/>
    </w:rPr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  <w:rPr>
      <w:rFonts w:hint="default"/>
      <w:sz w:val="21"/>
      <w:szCs w:val="24"/>
    </w:rPr>
  </w:style>
  <w:style w:type="paragraph" w:styleId="3">
    <w:name w:val="Normal (Web)"/>
    <w:basedOn w:val="1"/>
    <w:unhideWhenUsed/>
    <w:uiPriority w:val="0"/>
    <w:pPr>
      <w:spacing w:before="100" w:beforeAutospacing="1" w:after="100" w:afterAutospacing="1"/>
      <w:jc w:val="left"/>
    </w:pPr>
    <w:rPr>
      <w:rFonts w:hint="default"/>
      <w:kern w:val="0"/>
      <w:sz w:val="24"/>
      <w:szCs w:val="24"/>
      <w:lang w:bidi="ar"/>
    </w:rPr>
  </w:style>
  <w:style w:type="paragraph" w:styleId="4">
    <w:name w:val="Body Text First Indent 2"/>
    <w:basedOn w:val="2"/>
    <w:unhideWhenUsed/>
    <w:qFormat/>
    <w:uiPriority w:val="0"/>
    <w:pPr>
      <w:ind w:firstLine="420" w:firstLineChars="200"/>
    </w:pPr>
    <w:rPr>
      <w:rFonts w:hint="default"/>
      <w:sz w:val="24"/>
      <w:szCs w:val="24"/>
    </w:rPr>
  </w:style>
  <w:style w:type="character" w:styleId="7">
    <w:name w:val="Strong"/>
    <w:basedOn w:val="6"/>
    <w:unhideWhenUsed/>
    <w:qFormat/>
    <w:uiPriority w:val="0"/>
    <w:rPr>
      <w:rFonts w:hint="default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1822</Words>
  <Characters>1911</Characters>
  <TotalTime>4</TotalTime>
  <ScaleCrop>false</ScaleCrop>
  <LinksUpToDate>false</LinksUpToDate>
  <CharactersWithSpaces>1934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2025-05-22T02:38:14Z</dcterms:created>
  <dc:creator>wu</dc:creator>
  <cp:lastModifiedBy>吴晓妮</cp:lastModifiedBy>
  <dcterms:modified xsi:type="dcterms:W3CDTF">2025-05-22T03:14:10Z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eyJoZGlkIjoiOTM1OTBiMmYwMmQ2NWNmODEyN2RhNGZjMWRlZDM2NmIiLCJ1c2VySWQiOiIxNjkyMzYxMzM0In0=</vt:lpwstr>
  </property>
  <property fmtid="{D5CDD505-2E9C-101B-9397-08002B2CF9AE}" pid="3" name="KSOProductBuildVer">
    <vt:lpwstr>2052-12.1.0.19770</vt:lpwstr>
  </property>
  <property fmtid="{D5CDD505-2E9C-101B-9397-08002B2CF9AE}" pid="4" name="ICV">
    <vt:lpwstr>B408D567A61245029E63994BA4A7FA07_13</vt:lpwstr>
  </property>
</Properties>
</file>