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B6A72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附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综合评分明细表</w:t>
      </w:r>
    </w:p>
    <w:tbl>
      <w:tblPr>
        <w:tblStyle w:val="10"/>
        <w:tblW w:w="8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016"/>
        <w:gridCol w:w="2660"/>
        <w:gridCol w:w="4273"/>
      </w:tblGrid>
      <w:tr w14:paraId="3E0D7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07" w:type="dxa"/>
            <w:vAlign w:val="center"/>
          </w:tcPr>
          <w:p w14:paraId="4BDFFA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16" w:type="dxa"/>
            <w:vAlign w:val="center"/>
          </w:tcPr>
          <w:p w14:paraId="7D1073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条目</w:t>
            </w:r>
          </w:p>
        </w:tc>
        <w:tc>
          <w:tcPr>
            <w:tcW w:w="2660" w:type="dxa"/>
            <w:vAlign w:val="center"/>
          </w:tcPr>
          <w:p w14:paraId="1DCAA0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default" w:ascii="方正仿宋_GB2312" w:hAnsi="方正仿宋_GB2312" w:eastAsia="方正仿宋_GB2312" w:cs="方正仿宋_GB2312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评分内容</w:t>
            </w:r>
          </w:p>
        </w:tc>
        <w:tc>
          <w:tcPr>
            <w:tcW w:w="4273" w:type="dxa"/>
            <w:vAlign w:val="center"/>
          </w:tcPr>
          <w:p w14:paraId="7285F0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评分标准</w:t>
            </w:r>
          </w:p>
        </w:tc>
      </w:tr>
      <w:tr w14:paraId="06733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  <w:jc w:val="center"/>
        </w:trPr>
        <w:tc>
          <w:tcPr>
            <w:tcW w:w="907" w:type="dxa"/>
            <w:vAlign w:val="center"/>
          </w:tcPr>
          <w:p w14:paraId="661B61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6" w:type="dxa"/>
            <w:vAlign w:val="center"/>
          </w:tcPr>
          <w:p w14:paraId="07A296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报价部分（10）</w:t>
            </w:r>
          </w:p>
        </w:tc>
        <w:tc>
          <w:tcPr>
            <w:tcW w:w="2660" w:type="dxa"/>
            <w:vAlign w:val="center"/>
          </w:tcPr>
          <w:p w14:paraId="34F848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投标报价（10分）</w:t>
            </w:r>
          </w:p>
        </w:tc>
        <w:tc>
          <w:tcPr>
            <w:tcW w:w="4273" w:type="dxa"/>
            <w:vAlign w:val="center"/>
          </w:tcPr>
          <w:p w14:paraId="7F697B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投标价格最低的投标报价为评标基准价，其价格分为满分。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其他投标人的价格分统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一按照下列公式计算：投标报价得分=(评标基准价／投标报价)×价格权重10%）×100。</w:t>
            </w:r>
          </w:p>
        </w:tc>
      </w:tr>
      <w:tr w14:paraId="0C528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7" w:type="dxa"/>
            <w:vMerge w:val="restart"/>
            <w:vAlign w:val="center"/>
          </w:tcPr>
          <w:p w14:paraId="3938BA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6" w:type="dxa"/>
            <w:vMerge w:val="restart"/>
            <w:vAlign w:val="center"/>
          </w:tcPr>
          <w:p w14:paraId="710A73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综合实力（20）</w:t>
            </w:r>
          </w:p>
        </w:tc>
        <w:tc>
          <w:tcPr>
            <w:tcW w:w="2660" w:type="dxa"/>
            <w:vAlign w:val="center"/>
          </w:tcPr>
          <w:p w14:paraId="0FDEC3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企业实力（10分）</w:t>
            </w:r>
          </w:p>
        </w:tc>
        <w:tc>
          <w:tcPr>
            <w:tcW w:w="4273" w:type="dxa"/>
            <w:vAlign w:val="center"/>
          </w:tcPr>
          <w:p w14:paraId="0A87CEE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Style w:val="15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</w:pPr>
            <w:r>
              <w:rPr>
                <w:rStyle w:val="15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具有工程咨询单位甲级级资信证书得2分；不符合或未提供，得0分。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br w:type="textWrapping"/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2</w:t>
            </w:r>
            <w:r>
              <w:rPr>
                <w:rStyle w:val="15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、具有工程设计甲级资质证书得2分；；不符合或未提供，得0分。</w:t>
            </w:r>
          </w:p>
          <w:p w14:paraId="0031FCB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3、</w:t>
            </w:r>
            <w:r>
              <w:rPr>
                <w:rStyle w:val="15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具备企业行业信用等级证书（设计咨询领域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AAA</w:t>
            </w:r>
            <w:r>
              <w:rPr>
                <w:rStyle w:val="15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级信用企业）得2分；不符合或未提供，得0分。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br w:type="textWrapping"/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4</w:t>
            </w:r>
            <w:r>
              <w:rPr>
                <w:rStyle w:val="15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、具有信息系统业务安全服务壹级资质（服务行业方向：电信），得2分；不符合或未提供，得0分。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br w:type="textWrapping"/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5</w:t>
            </w:r>
            <w:r>
              <w:rPr>
                <w:rStyle w:val="15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、具有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CMMI</w:t>
            </w:r>
            <w:r>
              <w:rPr>
                <w:rStyle w:val="15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软件能力成熟度集成模型五级认证证书，得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2</w:t>
            </w:r>
            <w:r>
              <w:rPr>
                <w:rStyle w:val="15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分；不符合或未提供，得0分。</w:t>
            </w: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注：提供相关证书的扫描件并加盖公章。（需提供相关证明复印件，原件备查）。</w:t>
            </w:r>
          </w:p>
        </w:tc>
      </w:tr>
      <w:tr w14:paraId="1ED4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7" w:type="dxa"/>
            <w:vMerge w:val="continue"/>
            <w:vAlign w:val="center"/>
          </w:tcPr>
          <w:p w14:paraId="7818EB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 w14:paraId="07E5AC7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660" w:type="dxa"/>
            <w:vAlign w:val="center"/>
          </w:tcPr>
          <w:p w14:paraId="099EDD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企业</w:t>
            </w:r>
            <w:r>
              <w:rPr>
                <w:rFonts w:ascii="仿宋_GB2312" w:hAnsi="仿宋_GB2312" w:eastAsia="仿宋_GB2312" w:cs="仿宋_GB2312"/>
              </w:rPr>
              <w:t>业绩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5分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</w:tc>
        <w:tc>
          <w:tcPr>
            <w:tcW w:w="4273" w:type="dxa"/>
            <w:vAlign w:val="center"/>
          </w:tcPr>
          <w:p w14:paraId="5629D47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top"/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</w:pP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 xml:space="preserve">投标人2023年1月1日至今以来承接过的类似业绩每个得1分，本项最多得5分。 </w:t>
            </w:r>
          </w:p>
          <w:p w14:paraId="2D1AB86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top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14"/>
                <w:rFonts w:hint="eastAsia" w:ascii="方正仿宋_GB2312" w:hAnsi="方正仿宋_GB2312" w:eastAsia="方正仿宋_GB2312" w:cs="方正仿宋_GB2312"/>
                <w:sz w:val="21"/>
                <w:lang w:val="en-US" w:eastAsia="zh-CN" w:bidi="ar"/>
              </w:rPr>
              <w:t>注：类似项目业绩材料须在投标文件中提供合同的复印件或扫描件（至少包含合同首页、金额页、双方签字盖章页及工作内容页）。</w:t>
            </w:r>
          </w:p>
        </w:tc>
      </w:tr>
      <w:tr w14:paraId="5A23D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7" w:type="dxa"/>
            <w:vMerge w:val="continue"/>
            <w:vAlign w:val="center"/>
          </w:tcPr>
          <w:p w14:paraId="30D97EF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 w14:paraId="744881A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660" w:type="dxa"/>
            <w:vAlign w:val="center"/>
          </w:tcPr>
          <w:p w14:paraId="4C41C3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质量管理及认证(5分)</w:t>
            </w:r>
          </w:p>
        </w:tc>
        <w:tc>
          <w:tcPr>
            <w:tcW w:w="4273" w:type="dxa"/>
            <w:vAlign w:val="center"/>
          </w:tcPr>
          <w:p w14:paraId="5961F5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1、具备ISO9001质量管理体系认证得1分；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2、具备ISO20000信息技术服务管理体系认证证书得1分；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3、具备ISO27001信息安全管理体系认证证书得1分；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4、具备ISO14001环境管理体系认证得1分；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5、具备ISO45001职业健康安全管理体系认证证书得1分。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注：提供相关证明文件的扫描件并加盖公章。</w:t>
            </w:r>
          </w:p>
        </w:tc>
      </w:tr>
      <w:tr w14:paraId="4DA6D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7" w:type="dxa"/>
            <w:vMerge w:val="restart"/>
            <w:vAlign w:val="center"/>
          </w:tcPr>
          <w:p w14:paraId="2CC7A2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16" w:type="dxa"/>
            <w:vMerge w:val="restart"/>
            <w:vAlign w:val="center"/>
          </w:tcPr>
          <w:p w14:paraId="5A0FDE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人员（25）</w:t>
            </w:r>
          </w:p>
        </w:tc>
        <w:tc>
          <w:tcPr>
            <w:tcW w:w="2660" w:type="dxa"/>
            <w:vAlign w:val="center"/>
          </w:tcPr>
          <w:p w14:paraId="0D47B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项目负责人（15分）</w:t>
            </w:r>
          </w:p>
          <w:p w14:paraId="74C53C63">
            <w:pPr>
              <w:pStyle w:val="13"/>
              <w:ind w:left="0"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（仅限1人）</w:t>
            </w:r>
          </w:p>
        </w:tc>
        <w:tc>
          <w:tcPr>
            <w:tcW w:w="4273" w:type="dxa"/>
            <w:vAlign w:val="center"/>
          </w:tcPr>
          <w:p w14:paraId="08D118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投标人拟投入项目负责人须具备：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（1）具有高级工程师职称，得2分；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（2）具有咨询工程师执业资格证书（电子、信息工程（含通信、广电、信息化）），得2分；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（3）具有一级建造师注册证书（通信与广电专业），得2分；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（4）具有一级注册造价工程师注册证，得2分。</w:t>
            </w:r>
          </w:p>
          <w:p w14:paraId="03CB5C6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具有高级信息系统项目管理师(软考高级)证书，得2分。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（6）具有项目管理专业人士资格认证PMP证书，得2分；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7）自2023年1月1日至公告发布之日前在海南作为项目负责人做过编制工作（证明材料：需提交合同关键页扫描件，关键页包括合同名称、合同金额、签字盖章页和项目负责人姓名页）每一提供一个得1，满分为3分。</w:t>
            </w:r>
          </w:p>
          <w:p w14:paraId="2EA83B1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注: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①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上述资质需提供人员有效资质证书复印件、投标前连续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个月社保证明复印件并加盖公章，否则不予认可。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②每具备一项得相对应分值，满分10分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</w:tr>
      <w:tr w14:paraId="01AEC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1" w:hRule="atLeast"/>
          <w:jc w:val="center"/>
        </w:trPr>
        <w:tc>
          <w:tcPr>
            <w:tcW w:w="907" w:type="dxa"/>
            <w:vMerge w:val="continue"/>
            <w:vAlign w:val="center"/>
          </w:tcPr>
          <w:p w14:paraId="402E8FD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 w14:paraId="4B1FA2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660" w:type="dxa"/>
            <w:vAlign w:val="center"/>
          </w:tcPr>
          <w:p w14:paraId="18607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技术负责人（10分）</w:t>
            </w:r>
          </w:p>
          <w:p w14:paraId="5A29DD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630" w:firstLineChars="30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（仅限1人）</w:t>
            </w:r>
          </w:p>
        </w:tc>
        <w:tc>
          <w:tcPr>
            <w:tcW w:w="4273" w:type="dxa"/>
            <w:vAlign w:val="center"/>
          </w:tcPr>
          <w:p w14:paraId="20C477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投标人拟派技术负责人需具备：</w:t>
            </w:r>
          </w:p>
          <w:p w14:paraId="55E6D8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（1）具有高级工程师职称，得2分；</w:t>
            </w:r>
          </w:p>
          <w:p w14:paraId="24AB3D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（2）具有高级信息系统项目管理师(软考高级）得2分；</w:t>
            </w:r>
          </w:p>
          <w:p w14:paraId="16EF63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（3）具有高级系统分析师证书(软考高级）得2分；</w:t>
            </w:r>
          </w:p>
          <w:p w14:paraId="486C6B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（4）具有咨询工程师(投资)证书得2分；</w:t>
            </w:r>
          </w:p>
          <w:p w14:paraId="411FD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（5）具有ITSS证书且具有软件工程造价师证书，得2分；否则0分；</w:t>
            </w:r>
          </w:p>
          <w:p w14:paraId="6A8026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4A408D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注: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①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上述资质需提供人员有效资质证书复印件、投标前连续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个月社保证明复印件并加盖公章，否则不予认可。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②每具备一项得相对应分值，满分10分。</w:t>
            </w:r>
          </w:p>
        </w:tc>
      </w:tr>
      <w:tr w14:paraId="6F3CF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7" w:type="dxa"/>
            <w:vMerge w:val="restart"/>
            <w:vAlign w:val="center"/>
          </w:tcPr>
          <w:p w14:paraId="264E97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6" w:type="dxa"/>
            <w:vMerge w:val="restart"/>
            <w:vAlign w:val="center"/>
          </w:tcPr>
          <w:p w14:paraId="08D7D6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服务方案（45）</w:t>
            </w:r>
          </w:p>
        </w:tc>
        <w:tc>
          <w:tcPr>
            <w:tcW w:w="2660" w:type="dxa"/>
            <w:vAlign w:val="center"/>
          </w:tcPr>
          <w:p w14:paraId="06F6D9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总体咨询服务思路及理念（15分）</w:t>
            </w:r>
          </w:p>
        </w:tc>
        <w:tc>
          <w:tcPr>
            <w:tcW w:w="4273" w:type="dxa"/>
            <w:vAlign w:val="center"/>
          </w:tcPr>
          <w:p w14:paraId="3DEC9D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对项目建设条件的认识、对招标需求的理解、总体咨询思路是否清晰合理，按好、中、差打分：好 15~10 分，中 10~5 分，差 5~0 分。</w:t>
            </w:r>
          </w:p>
        </w:tc>
      </w:tr>
      <w:tr w14:paraId="34709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7" w:type="dxa"/>
            <w:vMerge w:val="continue"/>
            <w:vAlign w:val="center"/>
          </w:tcPr>
          <w:p w14:paraId="47BC5E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 w14:paraId="0B351C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660" w:type="dxa"/>
            <w:vAlign w:val="center"/>
          </w:tcPr>
          <w:p w14:paraId="3F834C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初步设计阶段咨询重点及难点对策</w:t>
            </w:r>
          </w:p>
          <w:p w14:paraId="63F6D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（10 分）</w:t>
            </w:r>
          </w:p>
        </w:tc>
        <w:tc>
          <w:tcPr>
            <w:tcW w:w="4273" w:type="dxa"/>
            <w:vAlign w:val="center"/>
          </w:tcPr>
          <w:p w14:paraId="3BF07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针对本项目阶段的特点、关键技术问题及难点提出咨询对策和保障措施，按好、中、差打分：好 10~7 分，中 7~3 分，差 3~0 分。</w:t>
            </w:r>
          </w:p>
        </w:tc>
      </w:tr>
      <w:tr w14:paraId="5778C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7" w:type="dxa"/>
            <w:vMerge w:val="continue"/>
            <w:vAlign w:val="center"/>
          </w:tcPr>
          <w:p w14:paraId="07191C0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 w14:paraId="00201A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660" w:type="dxa"/>
            <w:vAlign w:val="center"/>
          </w:tcPr>
          <w:p w14:paraId="6407E4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全过程咨询各阶段管控措施（10 分）</w:t>
            </w:r>
          </w:p>
        </w:tc>
        <w:tc>
          <w:tcPr>
            <w:tcW w:w="4273" w:type="dxa"/>
            <w:vAlign w:val="center"/>
          </w:tcPr>
          <w:p w14:paraId="05160C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针对项目实施各阶段（招标、施工、竣工等）的质量、进度、投资控制措施，按好、中、差打分：好 10~7 分，中 7~3 分，差 3~0 分。</w:t>
            </w:r>
          </w:p>
        </w:tc>
      </w:tr>
      <w:tr w14:paraId="51655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7" w:type="dxa"/>
            <w:vMerge w:val="continue"/>
            <w:vAlign w:val="center"/>
          </w:tcPr>
          <w:p w14:paraId="34A8548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 w14:paraId="6D24284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660" w:type="dxa"/>
            <w:vAlign w:val="center"/>
          </w:tcPr>
          <w:p w14:paraId="2514F3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项目进度计划及人员保障（5 分）</w:t>
            </w:r>
          </w:p>
        </w:tc>
        <w:tc>
          <w:tcPr>
            <w:tcW w:w="4273" w:type="dxa"/>
            <w:vAlign w:val="center"/>
          </w:tcPr>
          <w:p w14:paraId="4E6656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按项目工期合理安排各节点进度计划，人员配备到位，承诺按期完成咨询成果，按好、中、差打分：好 5~3 分，中 3~2 分，差 2~0 分</w:t>
            </w:r>
          </w:p>
        </w:tc>
      </w:tr>
      <w:tr w14:paraId="0E401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7" w:type="dxa"/>
            <w:vMerge w:val="continue"/>
            <w:vAlign w:val="center"/>
          </w:tcPr>
          <w:p w14:paraId="17DDF09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 w14:paraId="3D825B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</w:rPr>
            </w:pPr>
          </w:p>
        </w:tc>
        <w:tc>
          <w:tcPr>
            <w:tcW w:w="2660" w:type="dxa"/>
            <w:vAlign w:val="center"/>
          </w:tcPr>
          <w:p w14:paraId="5ED100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质量保证措施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（5 分）</w:t>
            </w:r>
          </w:p>
        </w:tc>
        <w:tc>
          <w:tcPr>
            <w:tcW w:w="4273" w:type="dxa"/>
            <w:vAlign w:val="center"/>
          </w:tcPr>
          <w:p w14:paraId="3056C7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咨询成果质量保证体系完善，有具体的审核、修改、完善措施及方案，按好、中、差打分：好 5~3 分，中 3~2 分，差 2~0 分。</w:t>
            </w:r>
          </w:p>
        </w:tc>
      </w:tr>
      <w:tr w14:paraId="6D7D7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07" w:type="dxa"/>
            <w:vAlign w:val="center"/>
          </w:tcPr>
          <w:p w14:paraId="27E732E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lang w:val="en-US" w:eastAsia="zh-CN"/>
              </w:rPr>
              <w:t>5</w:t>
            </w:r>
          </w:p>
        </w:tc>
        <w:tc>
          <w:tcPr>
            <w:tcW w:w="1016" w:type="dxa"/>
            <w:vAlign w:val="center"/>
          </w:tcPr>
          <w:p w14:paraId="36398F9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sz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lang w:val="en-US" w:eastAsia="zh-CN"/>
              </w:rPr>
              <w:t>合计（100）</w:t>
            </w:r>
          </w:p>
        </w:tc>
        <w:tc>
          <w:tcPr>
            <w:tcW w:w="2660" w:type="dxa"/>
            <w:vAlign w:val="center"/>
          </w:tcPr>
          <w:p w14:paraId="78FD2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273" w:type="dxa"/>
            <w:vAlign w:val="center"/>
          </w:tcPr>
          <w:p w14:paraId="5B3F52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7F55648F">
      <w:pPr>
        <w:spacing w:line="400" w:lineRule="exact"/>
        <w:rPr>
          <w:rFonts w:hint="eastAsia" w:ascii="方正仿宋_GB2312" w:hAnsi="方正仿宋_GB2312" w:eastAsia="方正仿宋_GB2312" w:cs="方正仿宋_GB2312"/>
          <w:sz w:val="24"/>
        </w:rPr>
      </w:pPr>
    </w:p>
    <w:p w14:paraId="4BACB214">
      <w:pPr>
        <w:spacing w:line="400" w:lineRule="exact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13390477-7484-4C6D-B5A0-44CC34F747D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CB4CC7E-7F51-4C70-BFEE-5929F655E46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E4399"/>
    <w:multiLevelType w:val="singleLevel"/>
    <w:tmpl w:val="07BE439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E21A1AD"/>
    <w:multiLevelType w:val="singleLevel"/>
    <w:tmpl w:val="7E21A1AD"/>
    <w:lvl w:ilvl="0" w:tentative="0">
      <w:start w:val="5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D0C6B"/>
    <w:rsid w:val="013E3787"/>
    <w:rsid w:val="030F72C0"/>
    <w:rsid w:val="03934FDA"/>
    <w:rsid w:val="04CC0EA6"/>
    <w:rsid w:val="07142E67"/>
    <w:rsid w:val="078D0C5B"/>
    <w:rsid w:val="0AB85927"/>
    <w:rsid w:val="0AD72A6C"/>
    <w:rsid w:val="0B6551E9"/>
    <w:rsid w:val="1012673B"/>
    <w:rsid w:val="12814503"/>
    <w:rsid w:val="12F52B2A"/>
    <w:rsid w:val="15C72C7C"/>
    <w:rsid w:val="18176A80"/>
    <w:rsid w:val="1C7012CF"/>
    <w:rsid w:val="1E3C6CC3"/>
    <w:rsid w:val="1F001DEB"/>
    <w:rsid w:val="1F5E7E64"/>
    <w:rsid w:val="24A81F06"/>
    <w:rsid w:val="253B262F"/>
    <w:rsid w:val="2661541A"/>
    <w:rsid w:val="273D3B76"/>
    <w:rsid w:val="2CB76EF1"/>
    <w:rsid w:val="2D0B45E4"/>
    <w:rsid w:val="2E8D3859"/>
    <w:rsid w:val="3196025A"/>
    <w:rsid w:val="347B747D"/>
    <w:rsid w:val="348C4512"/>
    <w:rsid w:val="35FB2CDC"/>
    <w:rsid w:val="37817F08"/>
    <w:rsid w:val="3D9D0C6B"/>
    <w:rsid w:val="40F216A8"/>
    <w:rsid w:val="45690D07"/>
    <w:rsid w:val="47373E8E"/>
    <w:rsid w:val="482E13CD"/>
    <w:rsid w:val="4B944949"/>
    <w:rsid w:val="4F3B3A2F"/>
    <w:rsid w:val="4F3F3C19"/>
    <w:rsid w:val="549B0E72"/>
    <w:rsid w:val="556829A3"/>
    <w:rsid w:val="56B95AAA"/>
    <w:rsid w:val="57A35F14"/>
    <w:rsid w:val="5B450571"/>
    <w:rsid w:val="638D70D8"/>
    <w:rsid w:val="660F17A6"/>
    <w:rsid w:val="685026CF"/>
    <w:rsid w:val="6D4E0CC6"/>
    <w:rsid w:val="6FDF6DF5"/>
    <w:rsid w:val="6FE132DB"/>
    <w:rsid w:val="76E710E5"/>
    <w:rsid w:val="7BF26788"/>
    <w:rsid w:val="7C25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7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99"/>
    <w:pPr>
      <w:widowControl/>
      <w:autoSpaceDE/>
      <w:autoSpaceDN/>
      <w:spacing w:line="360" w:lineRule="auto"/>
      <w:ind w:left="100" w:leftChars="100" w:right="100" w:rightChars="100" w:firstLine="420"/>
    </w:pPr>
    <w:rPr>
      <w:rFonts w:cs="Times New Roman"/>
      <w:kern w:val="2"/>
      <w:szCs w:val="20"/>
      <w:lang w:eastAsia="zh-CN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hint="eastAsia" w:ascii="宋体" w:hAnsi="宋体" w:eastAsia="宋体" w:cs="Times New Roman"/>
      <w:kern w:val="0"/>
      <w:sz w:val="34"/>
      <w:szCs w:val="20"/>
    </w:rPr>
  </w:style>
  <w:style w:type="paragraph" w:styleId="4">
    <w:name w:val="Body Text 2"/>
    <w:basedOn w:val="1"/>
    <w:unhideWhenUsed/>
    <w:qFormat/>
    <w:uiPriority w:val="0"/>
    <w:pPr>
      <w:spacing w:after="120" w:line="480" w:lineRule="auto"/>
    </w:pPr>
  </w:style>
  <w:style w:type="paragraph" w:styleId="5">
    <w:name w:val="Body Text First Indent 2"/>
    <w:basedOn w:val="6"/>
    <w:qFormat/>
    <w:uiPriority w:val="0"/>
    <w:pPr>
      <w:spacing w:line="360" w:lineRule="auto"/>
      <w:ind w:firstLine="420" w:firstLineChars="200"/>
    </w:pPr>
  </w:style>
  <w:style w:type="paragraph" w:styleId="6">
    <w:name w:val="Body Text Indent"/>
    <w:basedOn w:val="1"/>
    <w:qFormat/>
    <w:uiPriority w:val="0"/>
    <w:pPr>
      <w:ind w:firstLine="570"/>
    </w:pPr>
    <w:rPr>
      <w:rFonts w:hint="eastAsia" w:ascii="宋体" w:hAnsi="Times New Roman" w:eastAsia="宋体" w:cs="Times New Roman"/>
      <w:kern w:val="0"/>
      <w:sz w:val="28"/>
      <w:szCs w:val="20"/>
    </w:rPr>
  </w:style>
  <w:style w:type="paragraph" w:styleId="8">
    <w:name w:val="Normal Indent"/>
    <w:basedOn w:val="1"/>
    <w:qFormat/>
    <w:uiPriority w:val="0"/>
    <w:pPr>
      <w:adjustRightInd w:val="0"/>
      <w:snapToGrid w:val="0"/>
      <w:spacing w:line="520" w:lineRule="exact"/>
      <w:ind w:firstLine="561" w:firstLineChars="200"/>
      <w:jc w:val="left"/>
    </w:pPr>
    <w:rPr>
      <w:rFonts w:ascii="仿宋_GB2312" w:hAnsi="Times New Roman" w:eastAsia="仿宋_GB2312" w:cs="Times New Roman"/>
      <w:sz w:val="28"/>
      <w:szCs w:val="32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样式  + 首行缩进:  2 字符"/>
    <w:basedOn w:val="1"/>
    <w:qFormat/>
    <w:uiPriority w:val="0"/>
    <w:pPr>
      <w:ind w:firstLine="480"/>
    </w:pPr>
    <w:rPr>
      <w:spacing w:val="10"/>
      <w:szCs w:val="20"/>
    </w:rPr>
  </w:style>
  <w:style w:type="character" w:customStyle="1" w:styleId="14">
    <w:name w:val="font21"/>
    <w:basedOn w:val="1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5">
    <w:name w:val="font1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1642</Words>
  <Characters>1746</Characters>
  <Lines>0</Lines>
  <Paragraphs>0</Paragraphs>
  <TotalTime>5</TotalTime>
  <ScaleCrop>false</ScaleCrop>
  <LinksUpToDate>false</LinksUpToDate>
  <CharactersWithSpaces>1783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2025-11-18T06:41:00Z</dcterms:created>
  <dc:creator>黄</dc:creator>
  <cp:lastModifiedBy>陈标</cp:lastModifiedBy>
  <cp:lastPrinted>2025-12-12T09:47:00Z</cp:lastPrinted>
  <dcterms:modified xsi:type="dcterms:W3CDTF">2026-08-30T11:14:06Z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544B78441697490CB11ABE4F2D47A5EE_13</vt:lpwstr>
  </property>
  <property fmtid="{D5CDD505-2E9C-101B-9397-08002B2CF9AE}" pid="4" name="KSOTemplateDocerSaveRecord">
    <vt:lpwstr>eyJoZGlkIjoiNDg0M2I0YjU0NzcxMzU3NGZkZDg0MjFhZjkyYjg1YjUiLCJ1c2VySWQiOiIxODYzOTI5MzgzIn0=</vt:lpwstr>
  </property>
</Properties>
</file>