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kinsoku/>
        <w:wordWrap/>
        <w:overflowPunct/>
        <w:topLinePunct w:val="0"/>
        <w:autoSpaceDE/>
        <w:autoSpaceDN/>
        <w:bidi w:val="0"/>
        <w:adjustRightInd w:val="0"/>
        <w:snapToGrid w:val="0"/>
        <w:jc w:val="center"/>
        <w:textAlignment w:val="auto"/>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海南省黄花梨沉香博物馆劳务派遣服务项目</w:t>
      </w:r>
    </w:p>
    <w:p>
      <w:pPr>
        <w:pStyle w:val="6"/>
        <w:keepNext w:val="0"/>
        <w:keepLines w:val="0"/>
        <w:pageBreakBefore w:val="0"/>
        <w:widowControl/>
        <w:kinsoku/>
        <w:wordWrap/>
        <w:overflowPunct/>
        <w:topLinePunct w:val="0"/>
        <w:autoSpaceDE/>
        <w:autoSpaceDN/>
        <w:bidi w:val="0"/>
        <w:adjustRightInd w:val="0"/>
        <w:snapToGrid w:val="0"/>
        <w:jc w:val="center"/>
        <w:textAlignment w:val="auto"/>
      </w:pPr>
      <w:r>
        <w:rPr>
          <w:rFonts w:hint="eastAsia" w:ascii="方正小标宋简体" w:hAnsi="方正小标宋简体" w:eastAsia="方正小标宋简体" w:cs="方正小标宋简体"/>
          <w:sz w:val="32"/>
          <w:szCs w:val="32"/>
          <w:lang w:val="en-US" w:eastAsia="zh-CN"/>
        </w:rPr>
        <w:t>综合评分表</w:t>
      </w:r>
    </w:p>
    <w:tbl>
      <w:tblPr>
        <w:tblStyle w:val="4"/>
        <w:tblW w:w="10823"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60"/>
        <w:gridCol w:w="1530"/>
        <w:gridCol w:w="4573"/>
        <w:gridCol w:w="1095"/>
        <w:gridCol w:w="842"/>
        <w:gridCol w:w="152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7" w:hRule="atLeast"/>
          <w:jc w:val="center"/>
        </w:trPr>
        <w:tc>
          <w:tcPr>
            <w:tcW w:w="2790" w:type="dxa"/>
            <w:gridSpan w:val="2"/>
            <w:vAlign w:val="center"/>
          </w:tcPr>
          <w:p>
            <w:pPr>
              <w:pStyle w:val="6"/>
              <w:jc w:val="center"/>
              <w:rPr>
                <w:sz w:val="24"/>
                <w:szCs w:val="24"/>
              </w:rPr>
            </w:pPr>
            <w:r>
              <w:rPr>
                <w:rFonts w:hint="eastAsia" w:ascii="仿宋_GB2312" w:hAnsi="仿宋_GB2312" w:eastAsia="仿宋_GB2312" w:cs="仿宋_GB2312"/>
                <w:sz w:val="24"/>
                <w:szCs w:val="24"/>
              </w:rPr>
              <w:t>评审内容</w:t>
            </w:r>
          </w:p>
        </w:tc>
        <w:tc>
          <w:tcPr>
            <w:tcW w:w="8033" w:type="dxa"/>
            <w:gridSpan w:val="4"/>
            <w:vAlign w:val="center"/>
          </w:tcPr>
          <w:p>
            <w:pPr>
              <w:pStyle w:val="6"/>
              <w:jc w:val="center"/>
              <w:rPr>
                <w:sz w:val="24"/>
                <w:szCs w:val="24"/>
              </w:rPr>
            </w:pPr>
            <w:r>
              <w:rPr>
                <w:rFonts w:ascii="仿宋_GB2312" w:hAnsi="仿宋_GB2312" w:eastAsia="仿宋_GB2312" w:cs="仿宋_GB2312"/>
                <w:sz w:val="24"/>
                <w:szCs w:val="24"/>
              </w:rPr>
              <w:t xml:space="preserve"> 评审标准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790" w:type="dxa"/>
            <w:gridSpan w:val="2"/>
            <w:vAlign w:val="center"/>
          </w:tcPr>
          <w:p>
            <w:pPr>
              <w:pStyle w:val="6"/>
              <w:jc w:val="center"/>
              <w:rPr>
                <w:sz w:val="24"/>
                <w:szCs w:val="24"/>
              </w:rPr>
            </w:pPr>
            <w:r>
              <w:rPr>
                <w:rFonts w:ascii="仿宋_GB2312" w:hAnsi="仿宋_GB2312" w:eastAsia="仿宋_GB2312" w:cs="仿宋_GB2312"/>
                <w:sz w:val="24"/>
                <w:szCs w:val="24"/>
              </w:rPr>
              <w:t>分值构成</w:t>
            </w:r>
          </w:p>
        </w:tc>
        <w:tc>
          <w:tcPr>
            <w:tcW w:w="8033" w:type="dxa"/>
            <w:gridSpan w:val="4"/>
            <w:vAlign w:val="center"/>
          </w:tcPr>
          <w:p>
            <w:pPr>
              <w:pStyle w:val="6"/>
              <w:jc w:val="both"/>
              <w:rPr>
                <w:sz w:val="24"/>
                <w:szCs w:val="24"/>
              </w:rPr>
            </w:pPr>
            <w:r>
              <w:rPr>
                <w:rFonts w:ascii="仿宋_GB2312" w:hAnsi="仿宋_GB2312" w:eastAsia="仿宋_GB2312" w:cs="仿宋_GB2312"/>
                <w:sz w:val="24"/>
                <w:szCs w:val="24"/>
              </w:rPr>
              <w:t>技术部分86.00分</w:t>
            </w:r>
          </w:p>
          <w:p>
            <w:pPr>
              <w:pStyle w:val="6"/>
              <w:jc w:val="both"/>
              <w:rPr>
                <w:sz w:val="24"/>
                <w:szCs w:val="24"/>
              </w:rPr>
            </w:pPr>
            <w:r>
              <w:rPr>
                <w:rFonts w:ascii="仿宋_GB2312" w:hAnsi="仿宋_GB2312" w:eastAsia="仿宋_GB2312" w:cs="仿宋_GB2312"/>
                <w:sz w:val="24"/>
                <w:szCs w:val="24"/>
              </w:rPr>
              <w:t>商务部分4.00分</w:t>
            </w:r>
          </w:p>
          <w:p>
            <w:pPr>
              <w:pStyle w:val="6"/>
              <w:jc w:val="both"/>
              <w:rPr>
                <w:sz w:val="24"/>
                <w:szCs w:val="24"/>
              </w:rPr>
            </w:pPr>
            <w:r>
              <w:rPr>
                <w:rFonts w:ascii="仿宋_GB2312" w:hAnsi="仿宋_GB2312" w:eastAsia="仿宋_GB2312" w:cs="仿宋_GB2312"/>
                <w:sz w:val="24"/>
                <w:szCs w:val="24"/>
              </w:rPr>
              <w:t>报价得分10.00分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60" w:type="dxa"/>
            <w:vAlign w:val="center"/>
          </w:tcPr>
          <w:p>
            <w:pPr>
              <w:pStyle w:val="6"/>
              <w:jc w:val="center"/>
              <w:rPr>
                <w:sz w:val="24"/>
                <w:szCs w:val="24"/>
              </w:rPr>
            </w:pPr>
            <w:r>
              <w:rPr>
                <w:rFonts w:ascii="仿宋_GB2312" w:hAnsi="仿宋_GB2312" w:eastAsia="仿宋_GB2312" w:cs="仿宋_GB2312"/>
                <w:sz w:val="24"/>
                <w:szCs w:val="24"/>
              </w:rPr>
              <w:t>评审因素分类</w:t>
            </w:r>
          </w:p>
        </w:tc>
        <w:tc>
          <w:tcPr>
            <w:tcW w:w="1530" w:type="dxa"/>
            <w:vAlign w:val="center"/>
          </w:tcPr>
          <w:p>
            <w:pPr>
              <w:pStyle w:val="6"/>
              <w:jc w:val="center"/>
              <w:rPr>
                <w:sz w:val="24"/>
                <w:szCs w:val="24"/>
              </w:rPr>
            </w:pPr>
            <w:r>
              <w:rPr>
                <w:rFonts w:ascii="仿宋_GB2312" w:hAnsi="仿宋_GB2312" w:eastAsia="仿宋_GB2312" w:cs="仿宋_GB2312"/>
                <w:sz w:val="24"/>
                <w:szCs w:val="24"/>
              </w:rPr>
              <w:t>评审内容</w:t>
            </w:r>
          </w:p>
        </w:tc>
        <w:tc>
          <w:tcPr>
            <w:tcW w:w="4573" w:type="dxa"/>
            <w:vAlign w:val="center"/>
          </w:tcPr>
          <w:p>
            <w:pPr>
              <w:pStyle w:val="6"/>
              <w:jc w:val="center"/>
              <w:rPr>
                <w:sz w:val="24"/>
                <w:szCs w:val="24"/>
              </w:rPr>
            </w:pPr>
            <w:r>
              <w:rPr>
                <w:rFonts w:ascii="仿宋_GB2312" w:hAnsi="仿宋_GB2312" w:eastAsia="仿宋_GB2312" w:cs="仿宋_GB2312"/>
                <w:sz w:val="24"/>
                <w:szCs w:val="24"/>
              </w:rPr>
              <w:t xml:space="preserve"> 具体标准和要求</w:t>
            </w:r>
          </w:p>
        </w:tc>
        <w:tc>
          <w:tcPr>
            <w:tcW w:w="1095" w:type="dxa"/>
            <w:vAlign w:val="center"/>
          </w:tcPr>
          <w:p>
            <w:pPr>
              <w:pStyle w:val="6"/>
              <w:jc w:val="center"/>
              <w:rPr>
                <w:sz w:val="24"/>
                <w:szCs w:val="24"/>
              </w:rPr>
            </w:pPr>
            <w:r>
              <w:rPr>
                <w:rFonts w:ascii="仿宋_GB2312" w:hAnsi="仿宋_GB2312" w:eastAsia="仿宋_GB2312" w:cs="仿宋_GB2312"/>
                <w:sz w:val="24"/>
                <w:szCs w:val="24"/>
              </w:rPr>
              <w:t>分值</w:t>
            </w:r>
          </w:p>
        </w:tc>
        <w:tc>
          <w:tcPr>
            <w:tcW w:w="842" w:type="dxa"/>
            <w:vAlign w:val="center"/>
          </w:tcPr>
          <w:p>
            <w:pPr>
              <w:pStyle w:val="6"/>
              <w:jc w:val="center"/>
              <w:rPr>
                <w:rFonts w:ascii="仿宋_GB2312" w:hAnsi="仿宋_GB2312" w:eastAsia="仿宋_GB2312" w:cs="仿宋_GB2312"/>
                <w:sz w:val="24"/>
                <w:szCs w:val="24"/>
              </w:rPr>
            </w:pPr>
            <w:r>
              <w:rPr>
                <w:rFonts w:ascii="仿宋_GB2312" w:hAnsi="仿宋_GB2312" w:eastAsia="仿宋_GB2312" w:cs="仿宋_GB2312"/>
                <w:sz w:val="24"/>
                <w:szCs w:val="24"/>
              </w:rPr>
              <w:t>客观/</w:t>
            </w:r>
          </w:p>
          <w:p>
            <w:pPr>
              <w:pStyle w:val="6"/>
              <w:jc w:val="center"/>
              <w:rPr>
                <w:sz w:val="24"/>
                <w:szCs w:val="24"/>
              </w:rPr>
            </w:pPr>
            <w:r>
              <w:rPr>
                <w:rFonts w:ascii="仿宋_GB2312" w:hAnsi="仿宋_GB2312" w:eastAsia="仿宋_GB2312" w:cs="仿宋_GB2312"/>
                <w:sz w:val="24"/>
                <w:szCs w:val="24"/>
              </w:rPr>
              <w:t>主观</w:t>
            </w:r>
          </w:p>
        </w:tc>
        <w:tc>
          <w:tcPr>
            <w:tcW w:w="1523" w:type="dxa"/>
            <w:vAlign w:val="center"/>
          </w:tcPr>
          <w:p>
            <w:pPr>
              <w:pStyle w:val="6"/>
              <w:jc w:val="center"/>
              <w:rPr>
                <w:sz w:val="24"/>
                <w:szCs w:val="24"/>
              </w:rPr>
            </w:pPr>
            <w:r>
              <w:rPr>
                <w:rFonts w:ascii="仿宋_GB2312" w:hAnsi="仿宋_GB2312" w:eastAsia="仿宋_GB2312" w:cs="仿宋_GB2312"/>
                <w:sz w:val="24"/>
                <w:szCs w:val="24"/>
              </w:rPr>
              <w:t>关联投标（响应）文件格式文件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60" w:type="dxa"/>
            <w:vMerge w:val="restart"/>
            <w:vAlign w:val="center"/>
          </w:tcPr>
          <w:p>
            <w:pPr>
              <w:pStyle w:val="6"/>
              <w:jc w:val="center"/>
              <w:rPr>
                <w:sz w:val="24"/>
                <w:szCs w:val="24"/>
              </w:rPr>
            </w:pPr>
            <w:r>
              <w:rPr>
                <w:rFonts w:ascii="仿宋_GB2312" w:hAnsi="仿宋_GB2312" w:eastAsia="仿宋_GB2312" w:cs="仿宋_GB2312"/>
                <w:sz w:val="24"/>
                <w:szCs w:val="24"/>
              </w:rPr>
              <w:t>技术评审</w:t>
            </w:r>
          </w:p>
        </w:tc>
        <w:tc>
          <w:tcPr>
            <w:tcW w:w="1530" w:type="dxa"/>
            <w:vAlign w:val="center"/>
          </w:tcPr>
          <w:p>
            <w:pPr>
              <w:pStyle w:val="6"/>
              <w:jc w:val="center"/>
              <w:rPr>
                <w:rFonts w:ascii="仿宋_GB2312" w:hAnsi="仿宋_GB2312" w:eastAsia="仿宋_GB2312" w:cs="仿宋_GB2312"/>
                <w:sz w:val="24"/>
                <w:szCs w:val="24"/>
              </w:rPr>
            </w:pPr>
            <w:r>
              <w:rPr>
                <w:rFonts w:ascii="仿宋_GB2312" w:hAnsi="仿宋_GB2312" w:eastAsia="仿宋_GB2312" w:cs="仿宋_GB2312"/>
                <w:sz w:val="24"/>
                <w:szCs w:val="24"/>
              </w:rPr>
              <w:t>整体服务</w:t>
            </w:r>
          </w:p>
          <w:p>
            <w:pPr>
              <w:pStyle w:val="6"/>
              <w:jc w:val="center"/>
              <w:rPr>
                <w:sz w:val="24"/>
                <w:szCs w:val="24"/>
              </w:rPr>
            </w:pPr>
            <w:r>
              <w:rPr>
                <w:rFonts w:ascii="仿宋_GB2312" w:hAnsi="仿宋_GB2312" w:eastAsia="仿宋_GB2312" w:cs="仿宋_GB2312"/>
                <w:sz w:val="24"/>
                <w:szCs w:val="24"/>
              </w:rPr>
              <w:t>方案</w:t>
            </w:r>
          </w:p>
        </w:tc>
        <w:tc>
          <w:tcPr>
            <w:tcW w:w="4573" w:type="dxa"/>
            <w:vAlign w:val="center"/>
          </w:tcPr>
          <w:p>
            <w:pPr>
              <w:pStyle w:val="6"/>
              <w:jc w:val="both"/>
              <w:rPr>
                <w:sz w:val="24"/>
                <w:szCs w:val="24"/>
              </w:rPr>
            </w:pPr>
            <w:r>
              <w:rPr>
                <w:rFonts w:ascii="仿宋_GB2312" w:hAnsi="仿宋_GB2312" w:eastAsia="仿宋_GB2312" w:cs="仿宋_GB2312"/>
                <w:sz w:val="24"/>
                <w:szCs w:val="24"/>
              </w:rPr>
              <w:t>投标人根据本项目用户需求提供项目整体服务方案 ，内容包括但不限于</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rPr>
              <w:t>①入离职管理；②劳动合同管理；③薪酬福利管理；④社会保障管理；⑤工会管理；⑥档案管理等内容。 评审专家根据投标人提供的整体服务方案进行评分：方案中包含以上要求全部内容且上述内容全面、合理、可行性强、完全满足实施需要的得18分，每缺少一项扣3分，一项有缺陷扣1分。本项满分18分（内容缺陷是指：内容非专门针对本项目或不适用项目特性的情形、内容不够完整或缺少关键节点、套用其他项目方案、内容前后矛盾、涉及的规范及标准错误、不利于项目实施、不可能实现的情形等任意一种情形）。</w:t>
            </w:r>
          </w:p>
        </w:tc>
        <w:tc>
          <w:tcPr>
            <w:tcW w:w="1095" w:type="dxa"/>
            <w:vAlign w:val="center"/>
          </w:tcPr>
          <w:p>
            <w:pPr>
              <w:pStyle w:val="6"/>
              <w:jc w:val="center"/>
              <w:rPr>
                <w:sz w:val="24"/>
                <w:szCs w:val="24"/>
              </w:rPr>
            </w:pPr>
            <w:r>
              <w:rPr>
                <w:rFonts w:ascii="仿宋_GB2312" w:hAnsi="仿宋_GB2312" w:eastAsia="仿宋_GB2312" w:cs="仿宋_GB2312"/>
                <w:sz w:val="24"/>
                <w:szCs w:val="24"/>
              </w:rPr>
              <w:t>18.0000</w:t>
            </w:r>
          </w:p>
        </w:tc>
        <w:tc>
          <w:tcPr>
            <w:tcW w:w="842" w:type="dxa"/>
            <w:vAlign w:val="center"/>
          </w:tcPr>
          <w:p>
            <w:pPr>
              <w:pStyle w:val="6"/>
              <w:jc w:val="center"/>
              <w:rPr>
                <w:sz w:val="24"/>
                <w:szCs w:val="24"/>
              </w:rPr>
            </w:pPr>
            <w:r>
              <w:rPr>
                <w:rFonts w:ascii="仿宋_GB2312" w:hAnsi="仿宋_GB2312" w:eastAsia="仿宋_GB2312" w:cs="仿宋_GB2312"/>
                <w:sz w:val="24"/>
                <w:szCs w:val="24"/>
              </w:rPr>
              <w:t>主观</w:t>
            </w:r>
          </w:p>
        </w:tc>
        <w:tc>
          <w:tcPr>
            <w:tcW w:w="1523" w:type="dxa"/>
            <w:vAlign w:val="center"/>
          </w:tcPr>
          <w:p>
            <w:pPr>
              <w:pStyle w:val="6"/>
              <w:jc w:val="center"/>
              <w:rPr>
                <w:sz w:val="24"/>
                <w:szCs w:val="24"/>
              </w:rPr>
            </w:pPr>
            <w:r>
              <w:rPr>
                <w:rFonts w:ascii="仿宋_GB2312" w:hAnsi="仿宋_GB2312" w:eastAsia="仿宋_GB2312" w:cs="仿宋_GB2312"/>
                <w:sz w:val="24"/>
                <w:szCs w:val="24"/>
              </w:rPr>
              <w:t>其他材料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60" w:type="dxa"/>
            <w:vMerge w:val="continue"/>
            <w:vAlign w:val="center"/>
          </w:tcPr>
          <w:p>
            <w:pPr>
              <w:jc w:val="center"/>
              <w:rPr>
                <w:sz w:val="24"/>
                <w:szCs w:val="24"/>
              </w:rPr>
            </w:pPr>
          </w:p>
        </w:tc>
        <w:tc>
          <w:tcPr>
            <w:tcW w:w="1530" w:type="dxa"/>
            <w:vAlign w:val="center"/>
          </w:tcPr>
          <w:p>
            <w:pPr>
              <w:pStyle w:val="6"/>
              <w:jc w:val="center"/>
              <w:rPr>
                <w:sz w:val="24"/>
                <w:szCs w:val="24"/>
              </w:rPr>
            </w:pPr>
            <w:r>
              <w:rPr>
                <w:rFonts w:ascii="仿宋_GB2312" w:hAnsi="仿宋_GB2312" w:eastAsia="仿宋_GB2312" w:cs="仿宋_GB2312"/>
                <w:sz w:val="24"/>
                <w:szCs w:val="24"/>
              </w:rPr>
              <w:t>培训方案</w:t>
            </w:r>
          </w:p>
        </w:tc>
        <w:tc>
          <w:tcPr>
            <w:tcW w:w="4573" w:type="dxa"/>
            <w:vAlign w:val="center"/>
          </w:tcPr>
          <w:p>
            <w:pPr>
              <w:pStyle w:val="6"/>
              <w:jc w:val="both"/>
              <w:rPr>
                <w:sz w:val="24"/>
                <w:szCs w:val="24"/>
              </w:rPr>
            </w:pPr>
            <w:r>
              <w:rPr>
                <w:rFonts w:ascii="仿宋_GB2312" w:hAnsi="仿宋_GB2312" w:eastAsia="仿宋_GB2312" w:cs="仿宋_GB2312"/>
                <w:sz w:val="24"/>
                <w:szCs w:val="24"/>
              </w:rPr>
              <w:t>投标人根据本项目用户需求提供培训方案，内容包括但不限于：①培训内容；②培训计划；③培训形式等内容。 评审专家根据投标人提供的培训方案进行评分：方案中包含以上要求全部内容且上述内容全面、合理、可行性强、完全满足实施需要的得9分，每缺少一项扣3分，一项有缺陷扣1分。本项满分9分（内容缺陷是指：内容非专门针对本项目或不适用项目特性的情形、内容不够完整或缺少关键节点、套用其他项目方案、内容前后矛盾、涉及的规范及标准错误、不利于项目实施、不可能实现的情形等任意一种情形）。</w:t>
            </w:r>
          </w:p>
        </w:tc>
        <w:tc>
          <w:tcPr>
            <w:tcW w:w="1095" w:type="dxa"/>
            <w:vAlign w:val="center"/>
          </w:tcPr>
          <w:p>
            <w:pPr>
              <w:pStyle w:val="6"/>
              <w:jc w:val="center"/>
              <w:rPr>
                <w:sz w:val="24"/>
                <w:szCs w:val="24"/>
              </w:rPr>
            </w:pPr>
            <w:r>
              <w:rPr>
                <w:rFonts w:ascii="仿宋_GB2312" w:hAnsi="仿宋_GB2312" w:eastAsia="仿宋_GB2312" w:cs="仿宋_GB2312"/>
                <w:sz w:val="24"/>
                <w:szCs w:val="24"/>
              </w:rPr>
              <w:t>9.0000</w:t>
            </w:r>
          </w:p>
        </w:tc>
        <w:tc>
          <w:tcPr>
            <w:tcW w:w="842" w:type="dxa"/>
            <w:vAlign w:val="center"/>
          </w:tcPr>
          <w:p>
            <w:pPr>
              <w:pStyle w:val="6"/>
              <w:jc w:val="center"/>
              <w:rPr>
                <w:sz w:val="24"/>
                <w:szCs w:val="24"/>
              </w:rPr>
            </w:pPr>
            <w:r>
              <w:rPr>
                <w:rFonts w:ascii="仿宋_GB2312" w:hAnsi="仿宋_GB2312" w:eastAsia="仿宋_GB2312" w:cs="仿宋_GB2312"/>
                <w:sz w:val="24"/>
                <w:szCs w:val="24"/>
              </w:rPr>
              <w:t>主观</w:t>
            </w:r>
          </w:p>
        </w:tc>
        <w:tc>
          <w:tcPr>
            <w:tcW w:w="1523" w:type="dxa"/>
            <w:vAlign w:val="center"/>
          </w:tcPr>
          <w:p>
            <w:pPr>
              <w:pStyle w:val="6"/>
              <w:jc w:val="center"/>
              <w:rPr>
                <w:sz w:val="24"/>
                <w:szCs w:val="24"/>
              </w:rPr>
            </w:pPr>
            <w:r>
              <w:rPr>
                <w:rFonts w:ascii="仿宋_GB2312" w:hAnsi="仿宋_GB2312" w:eastAsia="仿宋_GB2312" w:cs="仿宋_GB2312"/>
                <w:sz w:val="24"/>
                <w:szCs w:val="24"/>
              </w:rPr>
              <w:t>其他材料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60" w:type="dxa"/>
            <w:vMerge w:val="continue"/>
            <w:vAlign w:val="center"/>
          </w:tcPr>
          <w:p>
            <w:pPr>
              <w:jc w:val="center"/>
              <w:rPr>
                <w:sz w:val="24"/>
                <w:szCs w:val="24"/>
              </w:rPr>
            </w:pPr>
          </w:p>
        </w:tc>
        <w:tc>
          <w:tcPr>
            <w:tcW w:w="1530" w:type="dxa"/>
            <w:vAlign w:val="center"/>
          </w:tcPr>
          <w:p>
            <w:pPr>
              <w:pStyle w:val="6"/>
              <w:jc w:val="center"/>
              <w:rPr>
                <w:sz w:val="24"/>
                <w:szCs w:val="24"/>
              </w:rPr>
            </w:pPr>
            <w:r>
              <w:rPr>
                <w:rFonts w:ascii="仿宋_GB2312" w:hAnsi="仿宋_GB2312" w:eastAsia="仿宋_GB2312" w:cs="仿宋_GB2312"/>
                <w:sz w:val="24"/>
                <w:szCs w:val="24"/>
              </w:rPr>
              <w:t>劳务纠纷处理方案</w:t>
            </w:r>
          </w:p>
        </w:tc>
        <w:tc>
          <w:tcPr>
            <w:tcW w:w="4573" w:type="dxa"/>
            <w:vAlign w:val="center"/>
          </w:tcPr>
          <w:p>
            <w:pPr>
              <w:pStyle w:val="6"/>
              <w:jc w:val="both"/>
              <w:rPr>
                <w:sz w:val="24"/>
                <w:szCs w:val="24"/>
              </w:rPr>
            </w:pPr>
            <w:r>
              <w:rPr>
                <w:rFonts w:ascii="仿宋_GB2312" w:hAnsi="仿宋_GB2312" w:eastAsia="仿宋_GB2312" w:cs="仿宋_GB2312"/>
                <w:sz w:val="24"/>
                <w:szCs w:val="24"/>
              </w:rPr>
              <w:t>投标人根据本项目用户需求提供劳务纠纷处理方案，内容包括但不限于</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rPr>
              <w:t>①协商程序；②调解程序；③仲裁程序等内容。 评审专家根据投标人提供的劳务纠纷处理方案进行评分：方案中包含以上要求全部内容且上述内容全面、合理、可行性强、完全满足实施需要的得12分，每缺少一项扣4分，一项有缺陷扣1分。本项满分12分（内容缺陷是指：内容非专门针对本项目或不适用项目特性的情形、内容不够完整或缺少关键节点、套用其他项目方案、内容前后矛盾、涉及的规范及标准错误、不利于项目实施、不可能实现的情形等任意一种情形）。</w:t>
            </w:r>
          </w:p>
        </w:tc>
        <w:tc>
          <w:tcPr>
            <w:tcW w:w="1095" w:type="dxa"/>
            <w:vAlign w:val="center"/>
          </w:tcPr>
          <w:p>
            <w:pPr>
              <w:pStyle w:val="6"/>
              <w:jc w:val="center"/>
              <w:rPr>
                <w:sz w:val="24"/>
                <w:szCs w:val="24"/>
              </w:rPr>
            </w:pPr>
            <w:r>
              <w:rPr>
                <w:rFonts w:ascii="仿宋_GB2312" w:hAnsi="仿宋_GB2312" w:eastAsia="仿宋_GB2312" w:cs="仿宋_GB2312"/>
                <w:sz w:val="24"/>
                <w:szCs w:val="24"/>
              </w:rPr>
              <w:t>12.0000</w:t>
            </w:r>
          </w:p>
        </w:tc>
        <w:tc>
          <w:tcPr>
            <w:tcW w:w="842" w:type="dxa"/>
            <w:vAlign w:val="center"/>
          </w:tcPr>
          <w:p>
            <w:pPr>
              <w:pStyle w:val="6"/>
              <w:jc w:val="center"/>
              <w:rPr>
                <w:sz w:val="24"/>
                <w:szCs w:val="24"/>
              </w:rPr>
            </w:pPr>
            <w:r>
              <w:rPr>
                <w:rFonts w:ascii="仿宋_GB2312" w:hAnsi="仿宋_GB2312" w:eastAsia="仿宋_GB2312" w:cs="仿宋_GB2312"/>
                <w:sz w:val="24"/>
                <w:szCs w:val="24"/>
              </w:rPr>
              <w:t>主观</w:t>
            </w:r>
          </w:p>
        </w:tc>
        <w:tc>
          <w:tcPr>
            <w:tcW w:w="1523" w:type="dxa"/>
            <w:vAlign w:val="center"/>
          </w:tcPr>
          <w:p>
            <w:pPr>
              <w:pStyle w:val="6"/>
              <w:jc w:val="center"/>
              <w:rPr>
                <w:sz w:val="24"/>
                <w:szCs w:val="24"/>
              </w:rPr>
            </w:pPr>
            <w:r>
              <w:rPr>
                <w:rFonts w:ascii="仿宋_GB2312" w:hAnsi="仿宋_GB2312" w:eastAsia="仿宋_GB2312" w:cs="仿宋_GB2312"/>
                <w:sz w:val="24"/>
                <w:szCs w:val="24"/>
              </w:rPr>
              <w:t>其他材料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60" w:type="dxa"/>
            <w:vMerge w:val="continue"/>
            <w:vAlign w:val="center"/>
          </w:tcPr>
          <w:p>
            <w:pPr>
              <w:jc w:val="center"/>
              <w:rPr>
                <w:sz w:val="24"/>
                <w:szCs w:val="24"/>
              </w:rPr>
            </w:pPr>
          </w:p>
        </w:tc>
        <w:tc>
          <w:tcPr>
            <w:tcW w:w="1530" w:type="dxa"/>
            <w:vAlign w:val="center"/>
          </w:tcPr>
          <w:p>
            <w:pPr>
              <w:pStyle w:val="6"/>
              <w:jc w:val="center"/>
              <w:rPr>
                <w:rFonts w:ascii="仿宋_GB2312" w:hAnsi="仿宋_GB2312" w:eastAsia="仿宋_GB2312" w:cs="仿宋_GB2312"/>
                <w:sz w:val="24"/>
                <w:szCs w:val="24"/>
              </w:rPr>
            </w:pPr>
            <w:r>
              <w:rPr>
                <w:rFonts w:ascii="仿宋_GB2312" w:hAnsi="仿宋_GB2312" w:eastAsia="仿宋_GB2312" w:cs="仿宋_GB2312"/>
                <w:sz w:val="24"/>
                <w:szCs w:val="24"/>
              </w:rPr>
              <w:t>服务应急</w:t>
            </w:r>
          </w:p>
          <w:p>
            <w:pPr>
              <w:pStyle w:val="6"/>
              <w:jc w:val="center"/>
              <w:rPr>
                <w:sz w:val="24"/>
                <w:szCs w:val="24"/>
              </w:rPr>
            </w:pPr>
            <w:r>
              <w:rPr>
                <w:rFonts w:ascii="仿宋_GB2312" w:hAnsi="仿宋_GB2312" w:eastAsia="仿宋_GB2312" w:cs="仿宋_GB2312"/>
                <w:sz w:val="24"/>
                <w:szCs w:val="24"/>
              </w:rPr>
              <w:t>预案</w:t>
            </w:r>
          </w:p>
        </w:tc>
        <w:tc>
          <w:tcPr>
            <w:tcW w:w="4573" w:type="dxa"/>
            <w:vAlign w:val="center"/>
          </w:tcPr>
          <w:p>
            <w:pPr>
              <w:pStyle w:val="6"/>
              <w:jc w:val="both"/>
              <w:rPr>
                <w:sz w:val="24"/>
                <w:szCs w:val="24"/>
              </w:rPr>
            </w:pPr>
            <w:r>
              <w:rPr>
                <w:rFonts w:ascii="仿宋_GB2312" w:hAnsi="仿宋_GB2312" w:eastAsia="仿宋_GB2312" w:cs="仿宋_GB2312"/>
                <w:sz w:val="24"/>
                <w:szCs w:val="24"/>
              </w:rPr>
              <w:t>投标人根据本项目用户需求提供服务应急预案，内容包括但不限于</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rPr>
              <w:t>①应急预案；②人员流失；③替换等其他意外情况的处理等内容。 评审专家根据投标人提供的服务应急预案进行评分：方案中包含以上要求全部内容且上述内容全面、合理、可行性强、完全满足实施需要的得12分，每缺少一项扣4分，一项有缺陷扣1分。本项满分12分（内容缺陷是指：内容非专门针对本项目或不适用项目特性的情形、内容不够完整或缺少关键节点、套用其他项目方案、内容前后矛盾、涉及的规范及标准错误、不利于项目实施、不可能实现的情形等任意一种情形）。</w:t>
            </w:r>
          </w:p>
        </w:tc>
        <w:tc>
          <w:tcPr>
            <w:tcW w:w="1095" w:type="dxa"/>
            <w:vAlign w:val="center"/>
          </w:tcPr>
          <w:p>
            <w:pPr>
              <w:pStyle w:val="6"/>
              <w:jc w:val="center"/>
              <w:rPr>
                <w:sz w:val="24"/>
                <w:szCs w:val="24"/>
              </w:rPr>
            </w:pPr>
            <w:r>
              <w:rPr>
                <w:rFonts w:ascii="仿宋_GB2312" w:hAnsi="仿宋_GB2312" w:eastAsia="仿宋_GB2312" w:cs="仿宋_GB2312"/>
                <w:sz w:val="24"/>
                <w:szCs w:val="24"/>
              </w:rPr>
              <w:t>12.0000</w:t>
            </w:r>
          </w:p>
        </w:tc>
        <w:tc>
          <w:tcPr>
            <w:tcW w:w="842" w:type="dxa"/>
            <w:vAlign w:val="center"/>
          </w:tcPr>
          <w:p>
            <w:pPr>
              <w:pStyle w:val="6"/>
              <w:jc w:val="center"/>
              <w:rPr>
                <w:sz w:val="24"/>
                <w:szCs w:val="24"/>
              </w:rPr>
            </w:pPr>
            <w:r>
              <w:rPr>
                <w:rFonts w:ascii="仿宋_GB2312" w:hAnsi="仿宋_GB2312" w:eastAsia="仿宋_GB2312" w:cs="仿宋_GB2312"/>
                <w:sz w:val="24"/>
                <w:szCs w:val="24"/>
              </w:rPr>
              <w:t>主观</w:t>
            </w:r>
          </w:p>
        </w:tc>
        <w:tc>
          <w:tcPr>
            <w:tcW w:w="1523" w:type="dxa"/>
            <w:vAlign w:val="center"/>
          </w:tcPr>
          <w:p>
            <w:pPr>
              <w:pStyle w:val="6"/>
              <w:jc w:val="center"/>
              <w:rPr>
                <w:sz w:val="24"/>
                <w:szCs w:val="24"/>
              </w:rPr>
            </w:pPr>
            <w:r>
              <w:rPr>
                <w:rFonts w:ascii="仿宋_GB2312" w:hAnsi="仿宋_GB2312" w:eastAsia="仿宋_GB2312" w:cs="仿宋_GB2312"/>
                <w:sz w:val="24"/>
                <w:szCs w:val="24"/>
              </w:rPr>
              <w:t>其他材料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60" w:type="dxa"/>
            <w:vMerge w:val="continue"/>
            <w:vAlign w:val="center"/>
          </w:tcPr>
          <w:p>
            <w:pPr>
              <w:jc w:val="center"/>
              <w:rPr>
                <w:sz w:val="24"/>
                <w:szCs w:val="24"/>
              </w:rPr>
            </w:pPr>
          </w:p>
        </w:tc>
        <w:tc>
          <w:tcPr>
            <w:tcW w:w="1530" w:type="dxa"/>
            <w:vAlign w:val="center"/>
          </w:tcPr>
          <w:p>
            <w:pPr>
              <w:pStyle w:val="6"/>
              <w:jc w:val="center"/>
              <w:rPr>
                <w:rFonts w:ascii="仿宋_GB2312" w:hAnsi="仿宋_GB2312" w:eastAsia="仿宋_GB2312" w:cs="仿宋_GB2312"/>
                <w:sz w:val="24"/>
                <w:szCs w:val="24"/>
              </w:rPr>
            </w:pPr>
            <w:r>
              <w:rPr>
                <w:rFonts w:ascii="仿宋_GB2312" w:hAnsi="仿宋_GB2312" w:eastAsia="仿宋_GB2312" w:cs="仿宋_GB2312"/>
                <w:sz w:val="24"/>
                <w:szCs w:val="24"/>
              </w:rPr>
              <w:t>人员配置</w:t>
            </w:r>
          </w:p>
          <w:p>
            <w:pPr>
              <w:pStyle w:val="6"/>
              <w:jc w:val="center"/>
              <w:rPr>
                <w:sz w:val="24"/>
                <w:szCs w:val="24"/>
              </w:rPr>
            </w:pPr>
            <w:r>
              <w:rPr>
                <w:rFonts w:ascii="仿宋_GB2312" w:hAnsi="仿宋_GB2312" w:eastAsia="仿宋_GB2312" w:cs="仿宋_GB2312"/>
                <w:sz w:val="24"/>
                <w:szCs w:val="24"/>
              </w:rPr>
              <w:t>方案</w:t>
            </w:r>
          </w:p>
        </w:tc>
        <w:tc>
          <w:tcPr>
            <w:tcW w:w="4573" w:type="dxa"/>
            <w:vAlign w:val="center"/>
          </w:tcPr>
          <w:p>
            <w:pPr>
              <w:pStyle w:val="6"/>
              <w:jc w:val="both"/>
              <w:rPr>
                <w:sz w:val="24"/>
                <w:szCs w:val="24"/>
              </w:rPr>
            </w:pPr>
            <w:r>
              <w:rPr>
                <w:rFonts w:ascii="仿宋_GB2312" w:hAnsi="仿宋_GB2312" w:eastAsia="仿宋_GB2312" w:cs="仿宋_GB2312"/>
                <w:sz w:val="24"/>
                <w:szCs w:val="24"/>
              </w:rPr>
              <w:t>投标人根据本项目用户需求提供人员配置方案，内容包括但不限于：①招聘方式；②招聘原则；③招聘流程；④录用；⑤用工手续等内容。 评审专家根据投标人提供的人员配置方案进行评分：方案中包含以上要求全部内容且上述内容全面、合理、可行性强、完全满足实施需要的得15分，每缺少一项扣3分，一项有缺陷扣1分。本项满分15分（内容缺陷是指：内容非专门针对本项目或不适用项目特性的情形、内容不够完整或缺少关键节点、套用其他项目方案、内容前后矛盾、涉及的规范及标准错误、不利于项目实施、不可能实现的情形等任意一种情形）。</w:t>
            </w:r>
          </w:p>
        </w:tc>
        <w:tc>
          <w:tcPr>
            <w:tcW w:w="1095" w:type="dxa"/>
            <w:vAlign w:val="center"/>
          </w:tcPr>
          <w:p>
            <w:pPr>
              <w:pStyle w:val="6"/>
              <w:jc w:val="center"/>
              <w:rPr>
                <w:sz w:val="24"/>
                <w:szCs w:val="24"/>
              </w:rPr>
            </w:pPr>
            <w:r>
              <w:rPr>
                <w:rFonts w:ascii="仿宋_GB2312" w:hAnsi="仿宋_GB2312" w:eastAsia="仿宋_GB2312" w:cs="仿宋_GB2312"/>
                <w:sz w:val="24"/>
                <w:szCs w:val="24"/>
              </w:rPr>
              <w:t>15.0000</w:t>
            </w:r>
          </w:p>
        </w:tc>
        <w:tc>
          <w:tcPr>
            <w:tcW w:w="842" w:type="dxa"/>
            <w:vAlign w:val="center"/>
          </w:tcPr>
          <w:p>
            <w:pPr>
              <w:pStyle w:val="6"/>
              <w:jc w:val="center"/>
              <w:rPr>
                <w:sz w:val="24"/>
                <w:szCs w:val="24"/>
              </w:rPr>
            </w:pPr>
            <w:r>
              <w:rPr>
                <w:rFonts w:ascii="仿宋_GB2312" w:hAnsi="仿宋_GB2312" w:eastAsia="仿宋_GB2312" w:cs="仿宋_GB2312"/>
                <w:sz w:val="24"/>
                <w:szCs w:val="24"/>
              </w:rPr>
              <w:t>主观</w:t>
            </w:r>
          </w:p>
        </w:tc>
        <w:tc>
          <w:tcPr>
            <w:tcW w:w="1523" w:type="dxa"/>
            <w:vAlign w:val="center"/>
          </w:tcPr>
          <w:p>
            <w:pPr>
              <w:pStyle w:val="6"/>
              <w:jc w:val="center"/>
              <w:rPr>
                <w:sz w:val="24"/>
                <w:szCs w:val="24"/>
              </w:rPr>
            </w:pPr>
            <w:r>
              <w:rPr>
                <w:rFonts w:ascii="仿宋_GB2312" w:hAnsi="仿宋_GB2312" w:eastAsia="仿宋_GB2312" w:cs="仿宋_GB2312"/>
                <w:sz w:val="24"/>
                <w:szCs w:val="24"/>
              </w:rPr>
              <w:t>其他材料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60" w:type="dxa"/>
            <w:vMerge w:val="continue"/>
            <w:vAlign w:val="center"/>
          </w:tcPr>
          <w:p>
            <w:pPr>
              <w:jc w:val="center"/>
              <w:rPr>
                <w:sz w:val="24"/>
                <w:szCs w:val="24"/>
              </w:rPr>
            </w:pPr>
          </w:p>
        </w:tc>
        <w:tc>
          <w:tcPr>
            <w:tcW w:w="1530" w:type="dxa"/>
            <w:vAlign w:val="center"/>
          </w:tcPr>
          <w:p>
            <w:pPr>
              <w:pStyle w:val="6"/>
              <w:jc w:val="center"/>
              <w:rPr>
                <w:sz w:val="24"/>
                <w:szCs w:val="24"/>
              </w:rPr>
            </w:pPr>
            <w:r>
              <w:rPr>
                <w:rFonts w:ascii="仿宋_GB2312" w:hAnsi="仿宋_GB2312" w:eastAsia="仿宋_GB2312" w:cs="仿宋_GB2312"/>
                <w:sz w:val="24"/>
                <w:szCs w:val="24"/>
              </w:rPr>
              <w:t>管理方案</w:t>
            </w:r>
          </w:p>
        </w:tc>
        <w:tc>
          <w:tcPr>
            <w:tcW w:w="4573" w:type="dxa"/>
            <w:vAlign w:val="center"/>
          </w:tcPr>
          <w:p>
            <w:pPr>
              <w:pStyle w:val="6"/>
              <w:jc w:val="both"/>
              <w:rPr>
                <w:sz w:val="24"/>
                <w:szCs w:val="24"/>
              </w:rPr>
            </w:pPr>
            <w:r>
              <w:rPr>
                <w:rFonts w:ascii="仿宋_GB2312" w:hAnsi="仿宋_GB2312" w:eastAsia="仿宋_GB2312" w:cs="仿宋_GB2312"/>
                <w:sz w:val="24"/>
                <w:szCs w:val="24"/>
              </w:rPr>
              <w:t>投标人根据本项目用户需求编制管理方案，包含但不限于：①管理制度；②绩效考核等内容。 评审专家根据投标人提供的管理方案进行评分：方案中包含以上要求全部内容且上述内容全面、合理、可行性强、完全满足实施需要的得10分，每缺少一项扣5分，一项有缺陷扣1分。本项满分10分（内容缺陷是指：内容非专门针对本项目或不适用项目特性的情形、内容不够完整或缺少关键节点、套用其他项目方案、内容前后矛盾、涉及的规范及标准错误、不利于项目实施、不可能实现的情形等任意一种情形）。</w:t>
            </w:r>
          </w:p>
        </w:tc>
        <w:tc>
          <w:tcPr>
            <w:tcW w:w="1095" w:type="dxa"/>
            <w:vAlign w:val="center"/>
          </w:tcPr>
          <w:p>
            <w:pPr>
              <w:pStyle w:val="6"/>
              <w:jc w:val="center"/>
              <w:rPr>
                <w:sz w:val="24"/>
                <w:szCs w:val="24"/>
              </w:rPr>
            </w:pPr>
            <w:r>
              <w:rPr>
                <w:rFonts w:ascii="仿宋_GB2312" w:hAnsi="仿宋_GB2312" w:eastAsia="仿宋_GB2312" w:cs="仿宋_GB2312"/>
                <w:sz w:val="24"/>
                <w:szCs w:val="24"/>
              </w:rPr>
              <w:t>10.0000</w:t>
            </w:r>
          </w:p>
        </w:tc>
        <w:tc>
          <w:tcPr>
            <w:tcW w:w="842" w:type="dxa"/>
            <w:vAlign w:val="center"/>
          </w:tcPr>
          <w:p>
            <w:pPr>
              <w:pStyle w:val="6"/>
              <w:jc w:val="center"/>
              <w:rPr>
                <w:sz w:val="24"/>
                <w:szCs w:val="24"/>
              </w:rPr>
            </w:pPr>
            <w:r>
              <w:rPr>
                <w:rFonts w:ascii="仿宋_GB2312" w:hAnsi="仿宋_GB2312" w:eastAsia="仿宋_GB2312" w:cs="仿宋_GB2312"/>
                <w:sz w:val="24"/>
                <w:szCs w:val="24"/>
              </w:rPr>
              <w:t>主观</w:t>
            </w:r>
          </w:p>
        </w:tc>
        <w:tc>
          <w:tcPr>
            <w:tcW w:w="1523" w:type="dxa"/>
            <w:vAlign w:val="center"/>
          </w:tcPr>
          <w:p>
            <w:pPr>
              <w:pStyle w:val="6"/>
              <w:jc w:val="center"/>
              <w:rPr>
                <w:sz w:val="24"/>
                <w:szCs w:val="24"/>
              </w:rPr>
            </w:pPr>
            <w:r>
              <w:rPr>
                <w:rFonts w:ascii="仿宋_GB2312" w:hAnsi="仿宋_GB2312" w:eastAsia="仿宋_GB2312" w:cs="仿宋_GB2312"/>
                <w:sz w:val="24"/>
                <w:szCs w:val="24"/>
              </w:rPr>
              <w:t>其他材料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60" w:type="dxa"/>
            <w:vMerge w:val="continue"/>
            <w:vAlign w:val="center"/>
          </w:tcPr>
          <w:p>
            <w:pPr>
              <w:jc w:val="center"/>
              <w:rPr>
                <w:sz w:val="24"/>
                <w:szCs w:val="24"/>
              </w:rPr>
            </w:pPr>
          </w:p>
        </w:tc>
        <w:tc>
          <w:tcPr>
            <w:tcW w:w="1530" w:type="dxa"/>
            <w:vAlign w:val="center"/>
          </w:tcPr>
          <w:p>
            <w:pPr>
              <w:pStyle w:val="6"/>
              <w:jc w:val="center"/>
              <w:rPr>
                <w:rFonts w:ascii="仿宋_GB2312" w:hAnsi="仿宋_GB2312" w:eastAsia="仿宋_GB2312" w:cs="仿宋_GB2312"/>
                <w:sz w:val="24"/>
                <w:szCs w:val="24"/>
              </w:rPr>
            </w:pPr>
            <w:r>
              <w:rPr>
                <w:rFonts w:ascii="仿宋_GB2312" w:hAnsi="仿宋_GB2312" w:eastAsia="仿宋_GB2312" w:cs="仿宋_GB2312"/>
                <w:sz w:val="24"/>
                <w:szCs w:val="24"/>
              </w:rPr>
              <w:t>服务质量</w:t>
            </w:r>
          </w:p>
          <w:p>
            <w:pPr>
              <w:pStyle w:val="6"/>
              <w:jc w:val="center"/>
              <w:rPr>
                <w:sz w:val="24"/>
                <w:szCs w:val="24"/>
              </w:rPr>
            </w:pPr>
            <w:r>
              <w:rPr>
                <w:rFonts w:ascii="仿宋_GB2312" w:hAnsi="仿宋_GB2312" w:eastAsia="仿宋_GB2312" w:cs="仿宋_GB2312"/>
                <w:sz w:val="24"/>
                <w:szCs w:val="24"/>
              </w:rPr>
              <w:t>方案</w:t>
            </w:r>
          </w:p>
        </w:tc>
        <w:tc>
          <w:tcPr>
            <w:tcW w:w="4573" w:type="dxa"/>
            <w:vAlign w:val="center"/>
          </w:tcPr>
          <w:p>
            <w:pPr>
              <w:pStyle w:val="6"/>
              <w:jc w:val="both"/>
              <w:rPr>
                <w:sz w:val="24"/>
                <w:szCs w:val="24"/>
              </w:rPr>
            </w:pPr>
            <w:r>
              <w:rPr>
                <w:rFonts w:ascii="仿宋_GB2312" w:hAnsi="仿宋_GB2312" w:eastAsia="仿宋_GB2312" w:cs="仿宋_GB2312"/>
                <w:sz w:val="24"/>
                <w:szCs w:val="24"/>
              </w:rPr>
              <w:t>投标人根据本项目用户需求编制服务质量方案，包含但不限于：①服务质量考核；②服务承诺方案等内容。 评审专家根据投标人提供的服务质量方案进行评分：方案中包含以上要求全部内容且上述内容全面、合理、可行性强、完全满足实施需要的得10分，每缺少一项扣5分，一项有缺陷扣1分。本项满分10分（内容缺陷是指：内容非专门针对本项目或不适用项目特性的情形、内容不够完整或缺少关键节点、套用其他项目方案、内容前后矛盾、涉及的规范及标准错误、不利于项目实施、不可能实现的情形等任意一种情形）。</w:t>
            </w:r>
          </w:p>
        </w:tc>
        <w:tc>
          <w:tcPr>
            <w:tcW w:w="1095" w:type="dxa"/>
            <w:vAlign w:val="center"/>
          </w:tcPr>
          <w:p>
            <w:pPr>
              <w:pStyle w:val="6"/>
              <w:jc w:val="center"/>
              <w:rPr>
                <w:sz w:val="24"/>
                <w:szCs w:val="24"/>
              </w:rPr>
            </w:pPr>
            <w:r>
              <w:rPr>
                <w:rFonts w:ascii="仿宋_GB2312" w:hAnsi="仿宋_GB2312" w:eastAsia="仿宋_GB2312" w:cs="仿宋_GB2312"/>
                <w:sz w:val="24"/>
                <w:szCs w:val="24"/>
              </w:rPr>
              <w:t>10.0000</w:t>
            </w:r>
          </w:p>
        </w:tc>
        <w:tc>
          <w:tcPr>
            <w:tcW w:w="842" w:type="dxa"/>
            <w:vAlign w:val="center"/>
          </w:tcPr>
          <w:p>
            <w:pPr>
              <w:pStyle w:val="6"/>
              <w:jc w:val="center"/>
              <w:rPr>
                <w:sz w:val="24"/>
                <w:szCs w:val="24"/>
              </w:rPr>
            </w:pPr>
            <w:r>
              <w:rPr>
                <w:rFonts w:ascii="仿宋_GB2312" w:hAnsi="仿宋_GB2312" w:eastAsia="仿宋_GB2312" w:cs="仿宋_GB2312"/>
                <w:sz w:val="24"/>
                <w:szCs w:val="24"/>
              </w:rPr>
              <w:t>主观</w:t>
            </w:r>
          </w:p>
        </w:tc>
        <w:tc>
          <w:tcPr>
            <w:tcW w:w="1523" w:type="dxa"/>
            <w:vAlign w:val="center"/>
          </w:tcPr>
          <w:p>
            <w:pPr>
              <w:pStyle w:val="6"/>
              <w:jc w:val="center"/>
              <w:rPr>
                <w:sz w:val="24"/>
                <w:szCs w:val="24"/>
              </w:rPr>
            </w:pPr>
            <w:r>
              <w:rPr>
                <w:rFonts w:ascii="仿宋_GB2312" w:hAnsi="仿宋_GB2312" w:eastAsia="仿宋_GB2312" w:cs="仿宋_GB2312"/>
                <w:sz w:val="24"/>
                <w:szCs w:val="24"/>
              </w:rPr>
              <w:t>其他材料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60" w:type="dxa"/>
            <w:vAlign w:val="center"/>
          </w:tcPr>
          <w:p>
            <w:pPr>
              <w:pStyle w:val="6"/>
              <w:jc w:val="center"/>
              <w:rPr>
                <w:sz w:val="24"/>
                <w:szCs w:val="24"/>
              </w:rPr>
            </w:pPr>
            <w:r>
              <w:rPr>
                <w:rFonts w:ascii="仿宋_GB2312" w:hAnsi="仿宋_GB2312" w:eastAsia="仿宋_GB2312" w:cs="仿宋_GB2312"/>
                <w:sz w:val="24"/>
                <w:szCs w:val="24"/>
              </w:rPr>
              <w:t>商务评审</w:t>
            </w:r>
          </w:p>
        </w:tc>
        <w:tc>
          <w:tcPr>
            <w:tcW w:w="1530" w:type="dxa"/>
            <w:vAlign w:val="center"/>
          </w:tcPr>
          <w:p>
            <w:pPr>
              <w:pStyle w:val="6"/>
              <w:jc w:val="center"/>
              <w:rPr>
                <w:sz w:val="24"/>
                <w:szCs w:val="24"/>
              </w:rPr>
            </w:pPr>
            <w:r>
              <w:rPr>
                <w:rFonts w:ascii="仿宋_GB2312" w:hAnsi="仿宋_GB2312" w:eastAsia="仿宋_GB2312" w:cs="仿宋_GB2312"/>
                <w:sz w:val="24"/>
                <w:szCs w:val="24"/>
              </w:rPr>
              <w:t>类似业绩</w:t>
            </w:r>
          </w:p>
        </w:tc>
        <w:tc>
          <w:tcPr>
            <w:tcW w:w="4573" w:type="dxa"/>
            <w:vAlign w:val="center"/>
          </w:tcPr>
          <w:p>
            <w:pPr>
              <w:pStyle w:val="6"/>
              <w:jc w:val="both"/>
              <w:rPr>
                <w:sz w:val="24"/>
                <w:szCs w:val="24"/>
              </w:rPr>
            </w:pPr>
            <w:r>
              <w:rPr>
                <w:rFonts w:ascii="仿宋_GB2312" w:hAnsi="仿宋_GB2312" w:eastAsia="仿宋_GB2312" w:cs="仿宋_GB2312"/>
                <w:sz w:val="24"/>
                <w:szCs w:val="24"/>
              </w:rPr>
              <w:t>投标人20</w:t>
            </w:r>
            <w:r>
              <w:rPr>
                <w:rFonts w:hint="eastAsia" w:ascii="仿宋_GB2312" w:hAnsi="仿宋_GB2312" w:eastAsia="仿宋_GB2312" w:cs="仿宋_GB2312"/>
                <w:sz w:val="24"/>
                <w:szCs w:val="24"/>
                <w:lang w:val="en-US" w:eastAsia="zh-CN"/>
              </w:rPr>
              <w:t>21</w:t>
            </w:r>
            <w:r>
              <w:rPr>
                <w:rFonts w:ascii="仿宋_GB2312" w:hAnsi="仿宋_GB2312" w:eastAsia="仿宋_GB2312" w:cs="仿宋_GB2312"/>
                <w:sz w:val="24"/>
                <w:szCs w:val="24"/>
              </w:rPr>
              <w:t>年1月1日</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rPr>
              <w:t>以合同签订时间为准</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rPr>
              <w:t>至今承接过的类似业绩，每提供1个业绩得2分，本项满分4分。 证明材料：须提供合同</w:t>
            </w:r>
            <w:r>
              <w:rPr>
                <w:rFonts w:hint="eastAsia" w:ascii="仿宋_GB2312" w:hAnsi="仿宋_GB2312" w:eastAsia="仿宋_GB2312" w:cs="仿宋_GB2312"/>
                <w:sz w:val="24"/>
                <w:szCs w:val="24"/>
                <w:lang w:eastAsia="zh-CN"/>
              </w:rPr>
              <w:t>复印件并加盖</w:t>
            </w:r>
            <w:r>
              <w:rPr>
                <w:rFonts w:ascii="仿宋_GB2312" w:hAnsi="仿宋_GB2312" w:eastAsia="仿宋_GB2312" w:cs="仿宋_GB2312"/>
                <w:sz w:val="24"/>
                <w:szCs w:val="24"/>
              </w:rPr>
              <w:t>公章，不提供不得分。</w:t>
            </w:r>
          </w:p>
        </w:tc>
        <w:tc>
          <w:tcPr>
            <w:tcW w:w="1095" w:type="dxa"/>
            <w:vAlign w:val="center"/>
          </w:tcPr>
          <w:p>
            <w:pPr>
              <w:pStyle w:val="6"/>
              <w:jc w:val="center"/>
              <w:rPr>
                <w:sz w:val="24"/>
                <w:szCs w:val="24"/>
              </w:rPr>
            </w:pPr>
            <w:r>
              <w:rPr>
                <w:rFonts w:ascii="仿宋_GB2312" w:hAnsi="仿宋_GB2312" w:eastAsia="仿宋_GB2312" w:cs="仿宋_GB2312"/>
                <w:sz w:val="24"/>
                <w:szCs w:val="24"/>
              </w:rPr>
              <w:t>4.0000</w:t>
            </w:r>
          </w:p>
        </w:tc>
        <w:tc>
          <w:tcPr>
            <w:tcW w:w="842" w:type="dxa"/>
            <w:vAlign w:val="center"/>
          </w:tcPr>
          <w:p>
            <w:pPr>
              <w:pStyle w:val="6"/>
              <w:jc w:val="center"/>
              <w:rPr>
                <w:sz w:val="24"/>
                <w:szCs w:val="24"/>
              </w:rPr>
            </w:pPr>
            <w:r>
              <w:rPr>
                <w:rFonts w:ascii="仿宋_GB2312" w:hAnsi="仿宋_GB2312" w:eastAsia="仿宋_GB2312" w:cs="仿宋_GB2312"/>
                <w:sz w:val="24"/>
                <w:szCs w:val="24"/>
              </w:rPr>
              <w:t>客观</w:t>
            </w:r>
          </w:p>
        </w:tc>
        <w:tc>
          <w:tcPr>
            <w:tcW w:w="1523" w:type="dxa"/>
            <w:vAlign w:val="center"/>
          </w:tcPr>
          <w:p>
            <w:pPr>
              <w:pStyle w:val="6"/>
              <w:jc w:val="center"/>
              <w:rPr>
                <w:sz w:val="24"/>
                <w:szCs w:val="24"/>
              </w:rPr>
            </w:pPr>
            <w:r>
              <w:rPr>
                <w:rFonts w:ascii="仿宋_GB2312" w:hAnsi="仿宋_GB2312" w:eastAsia="仿宋_GB2312" w:cs="仿宋_GB2312"/>
                <w:sz w:val="24"/>
                <w:szCs w:val="24"/>
              </w:rPr>
              <w:t>其他材料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60" w:type="dxa"/>
            <w:vAlign w:val="center"/>
          </w:tcPr>
          <w:p>
            <w:pPr>
              <w:pStyle w:val="6"/>
              <w:jc w:val="center"/>
              <w:rPr>
                <w:sz w:val="24"/>
                <w:szCs w:val="24"/>
              </w:rPr>
            </w:pPr>
            <w:r>
              <w:rPr>
                <w:rFonts w:ascii="仿宋_GB2312" w:hAnsi="仿宋_GB2312" w:eastAsia="仿宋_GB2312" w:cs="仿宋_GB2312"/>
                <w:sz w:val="24"/>
                <w:szCs w:val="24"/>
              </w:rPr>
              <w:t>价格评审</w:t>
            </w:r>
          </w:p>
        </w:tc>
        <w:tc>
          <w:tcPr>
            <w:tcW w:w="1530" w:type="dxa"/>
            <w:vAlign w:val="center"/>
          </w:tcPr>
          <w:p>
            <w:pPr>
              <w:pStyle w:val="6"/>
              <w:jc w:val="center"/>
              <w:rPr>
                <w:sz w:val="24"/>
                <w:szCs w:val="24"/>
              </w:rPr>
            </w:pPr>
            <w:r>
              <w:rPr>
                <w:rFonts w:ascii="仿宋_GB2312" w:hAnsi="仿宋_GB2312" w:eastAsia="仿宋_GB2312" w:cs="仿宋_GB2312"/>
                <w:sz w:val="24"/>
                <w:szCs w:val="24"/>
              </w:rPr>
              <w:t>合计</w:t>
            </w:r>
          </w:p>
        </w:tc>
        <w:tc>
          <w:tcPr>
            <w:tcW w:w="4573" w:type="dxa"/>
            <w:vAlign w:val="center"/>
          </w:tcPr>
          <w:p>
            <w:pPr>
              <w:pStyle w:val="6"/>
              <w:jc w:val="both"/>
              <w:rPr>
                <w:sz w:val="24"/>
                <w:szCs w:val="24"/>
              </w:rPr>
            </w:pPr>
            <w:r>
              <w:rPr>
                <w:rFonts w:ascii="仿宋_GB2312" w:hAnsi="仿宋_GB2312" w:eastAsia="仿宋_GB2312" w:cs="仿宋_GB2312"/>
                <w:sz w:val="24"/>
                <w:szCs w:val="24"/>
              </w:rPr>
              <w:t>价格项评审因素得分＝（评标基准价/投标报价）×100×价格项</w:t>
            </w:r>
            <w:bookmarkStart w:id="0" w:name="_GoBack"/>
            <w:bookmarkEnd w:id="0"/>
            <w:r>
              <w:rPr>
                <w:rFonts w:ascii="仿宋_GB2312" w:hAnsi="仿宋_GB2312" w:eastAsia="仿宋_GB2312" w:cs="仿宋_GB2312"/>
                <w:sz w:val="24"/>
                <w:szCs w:val="24"/>
              </w:rPr>
              <w:t>评审因素所占的权重（注：满足</w:t>
            </w:r>
            <w:r>
              <w:rPr>
                <w:rFonts w:hint="eastAsia" w:ascii="仿宋_GB2312" w:hAnsi="仿宋_GB2312" w:eastAsia="仿宋_GB2312" w:cs="仿宋_GB2312"/>
                <w:sz w:val="24"/>
                <w:szCs w:val="24"/>
                <w:lang w:val="en-US" w:eastAsia="zh-CN"/>
              </w:rPr>
              <w:t>比选</w:t>
            </w:r>
            <w:r>
              <w:rPr>
                <w:rFonts w:ascii="仿宋_GB2312" w:hAnsi="仿宋_GB2312" w:eastAsia="仿宋_GB2312" w:cs="仿宋_GB2312"/>
                <w:sz w:val="24"/>
                <w:szCs w:val="24"/>
              </w:rPr>
              <w:t>文件要求且投标价格最低的投标报价为评标基准价。）最低报价不是中标的唯一依据。</w:t>
            </w:r>
          </w:p>
        </w:tc>
        <w:tc>
          <w:tcPr>
            <w:tcW w:w="1095" w:type="dxa"/>
            <w:vAlign w:val="center"/>
          </w:tcPr>
          <w:p>
            <w:pPr>
              <w:pStyle w:val="6"/>
              <w:jc w:val="center"/>
              <w:rPr>
                <w:sz w:val="24"/>
                <w:szCs w:val="24"/>
              </w:rPr>
            </w:pPr>
            <w:r>
              <w:rPr>
                <w:rFonts w:ascii="仿宋_GB2312" w:hAnsi="仿宋_GB2312" w:eastAsia="仿宋_GB2312" w:cs="仿宋_GB2312"/>
                <w:sz w:val="24"/>
                <w:szCs w:val="24"/>
              </w:rPr>
              <w:t>10.0000</w:t>
            </w:r>
          </w:p>
        </w:tc>
        <w:tc>
          <w:tcPr>
            <w:tcW w:w="842" w:type="dxa"/>
            <w:vAlign w:val="center"/>
          </w:tcPr>
          <w:p>
            <w:pPr>
              <w:pStyle w:val="6"/>
              <w:jc w:val="center"/>
              <w:rPr>
                <w:sz w:val="24"/>
                <w:szCs w:val="24"/>
              </w:rPr>
            </w:pPr>
            <w:r>
              <w:rPr>
                <w:rFonts w:ascii="仿宋_GB2312" w:hAnsi="仿宋_GB2312" w:eastAsia="仿宋_GB2312" w:cs="仿宋_GB2312"/>
                <w:sz w:val="24"/>
                <w:szCs w:val="24"/>
              </w:rPr>
              <w:t>客观</w:t>
            </w:r>
          </w:p>
        </w:tc>
        <w:tc>
          <w:tcPr>
            <w:tcW w:w="1523" w:type="dxa"/>
            <w:vAlign w:val="center"/>
          </w:tcPr>
          <w:p>
            <w:pPr>
              <w:pStyle w:val="6"/>
              <w:jc w:val="center"/>
              <w:rPr>
                <w:sz w:val="24"/>
                <w:szCs w:val="24"/>
              </w:rPr>
            </w:pPr>
            <w:r>
              <w:rPr>
                <w:rFonts w:ascii="仿宋_GB2312" w:hAnsi="仿宋_GB2312" w:eastAsia="仿宋_GB2312" w:cs="仿宋_GB2312"/>
                <w:sz w:val="24"/>
                <w:szCs w:val="24"/>
              </w:rPr>
              <w:t>开标（报价）一览表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60" w:type="dxa"/>
            <w:vAlign w:val="center"/>
          </w:tcPr>
          <w:p>
            <w:pPr>
              <w:pStyle w:val="6"/>
              <w:jc w:val="center"/>
              <w:rPr>
                <w:rFonts w:ascii="仿宋_GB2312" w:hAnsi="仿宋_GB2312" w:eastAsia="仿宋_GB2312" w:cs="仿宋_GB2312"/>
                <w:sz w:val="24"/>
                <w:szCs w:val="24"/>
              </w:rPr>
            </w:pPr>
            <w:r>
              <w:rPr>
                <w:rFonts w:ascii="仿宋_GB2312" w:hAnsi="仿宋_GB2312" w:eastAsia="仿宋_GB2312" w:cs="仿宋_GB2312"/>
                <w:sz w:val="24"/>
                <w:szCs w:val="24"/>
              </w:rPr>
              <w:t>异常低价</w:t>
            </w:r>
          </w:p>
          <w:p>
            <w:pPr>
              <w:pStyle w:val="6"/>
              <w:jc w:val="center"/>
              <w:rPr>
                <w:sz w:val="24"/>
                <w:szCs w:val="24"/>
              </w:rPr>
            </w:pPr>
            <w:r>
              <w:rPr>
                <w:rFonts w:ascii="仿宋_GB2312" w:hAnsi="仿宋_GB2312" w:eastAsia="仿宋_GB2312" w:cs="仿宋_GB2312"/>
                <w:sz w:val="24"/>
                <w:szCs w:val="24"/>
              </w:rPr>
              <w:t>审查</w:t>
            </w:r>
          </w:p>
        </w:tc>
        <w:tc>
          <w:tcPr>
            <w:tcW w:w="1530" w:type="dxa"/>
            <w:vAlign w:val="center"/>
          </w:tcPr>
          <w:p>
            <w:pPr>
              <w:pStyle w:val="6"/>
              <w:jc w:val="center"/>
              <w:rPr>
                <w:sz w:val="24"/>
                <w:szCs w:val="24"/>
              </w:rPr>
            </w:pPr>
            <w:r>
              <w:rPr>
                <w:rFonts w:ascii="仿宋_GB2312" w:hAnsi="仿宋_GB2312" w:eastAsia="仿宋_GB2312" w:cs="仿宋_GB2312"/>
                <w:sz w:val="24"/>
                <w:szCs w:val="24"/>
              </w:rPr>
              <w:t>异常低价审查</w:t>
            </w:r>
          </w:p>
        </w:tc>
        <w:tc>
          <w:tcPr>
            <w:tcW w:w="4573" w:type="dxa"/>
            <w:vAlign w:val="center"/>
          </w:tcPr>
          <w:p>
            <w:pPr>
              <w:pStyle w:val="6"/>
              <w:jc w:val="both"/>
              <w:rPr>
                <w:sz w:val="24"/>
                <w:szCs w:val="24"/>
              </w:rPr>
            </w:pPr>
            <w:r>
              <w:rPr>
                <w:rFonts w:ascii="仿宋_GB2312" w:hAnsi="仿宋_GB2312" w:eastAsia="仿宋_GB2312" w:cs="仿宋_GB2312"/>
                <w:sz w:val="24"/>
                <w:szCs w:val="24"/>
              </w:rPr>
              <w:t>根据《关于在相关自由贸易试验区和自由贸易港开展推动解决政府采购异常低价问题试点工作的通知》，政府采购评审中出现下列情形之一的，评审委员会应当启动异常低价投标（响应）审查程序：（1）合计响应报价低于全部通过符合性审查供应商响应报价平均值50%的，即合计响应报价全部通过符合性审查供应商响应报价平均值×50%。（2）合计响应报价低于通过符合性审查且报价次低供应商响应报价50%的，即合计响应报价通过符合性审查且报价次低供应商响应报价×50%。（3）合计响应报价低于最高限价45%的，即合计响应报价最高限价×45%。（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c>
          <w:tcPr>
            <w:tcW w:w="1095" w:type="dxa"/>
            <w:vAlign w:val="center"/>
          </w:tcPr>
          <w:p>
            <w:pPr>
              <w:pStyle w:val="6"/>
              <w:jc w:val="center"/>
              <w:rPr>
                <w:sz w:val="24"/>
                <w:szCs w:val="24"/>
              </w:rPr>
            </w:pPr>
            <w:r>
              <w:rPr>
                <w:rFonts w:ascii="仿宋_GB2312" w:hAnsi="仿宋_GB2312" w:eastAsia="仿宋_GB2312" w:cs="仿宋_GB2312"/>
                <w:sz w:val="24"/>
                <w:szCs w:val="24"/>
              </w:rPr>
              <w:t>0.0000</w:t>
            </w:r>
          </w:p>
        </w:tc>
        <w:tc>
          <w:tcPr>
            <w:tcW w:w="842" w:type="dxa"/>
            <w:vAlign w:val="center"/>
          </w:tcPr>
          <w:p>
            <w:pPr>
              <w:pStyle w:val="6"/>
              <w:jc w:val="center"/>
              <w:rPr>
                <w:sz w:val="24"/>
                <w:szCs w:val="24"/>
              </w:rPr>
            </w:pPr>
            <w:r>
              <w:rPr>
                <w:rFonts w:ascii="仿宋_GB2312" w:hAnsi="仿宋_GB2312" w:eastAsia="仿宋_GB2312" w:cs="仿宋_GB2312"/>
                <w:sz w:val="24"/>
                <w:szCs w:val="24"/>
              </w:rPr>
              <w:t>客观</w:t>
            </w:r>
          </w:p>
        </w:tc>
        <w:tc>
          <w:tcPr>
            <w:tcW w:w="1523" w:type="dxa"/>
            <w:vAlign w:val="center"/>
          </w:tcPr>
          <w:p>
            <w:pPr>
              <w:pStyle w:val="6"/>
              <w:jc w:val="center"/>
              <w:rPr>
                <w:sz w:val="24"/>
                <w:szCs w:val="24"/>
              </w:rPr>
            </w:pPr>
          </w:p>
          <w:p>
            <w:pPr>
              <w:pStyle w:val="6"/>
              <w:jc w:val="center"/>
              <w:rPr>
                <w:sz w:val="24"/>
                <w:szCs w:val="24"/>
              </w:rPr>
            </w:pPr>
            <w:r>
              <w:rPr>
                <w:rFonts w:ascii="仿宋_GB2312" w:hAnsi="仿宋_GB2312" w:eastAsia="仿宋_GB2312" w:cs="仿宋_GB2312"/>
                <w:sz w:val="24"/>
                <w:szCs w:val="24"/>
              </w:rPr>
              <w:t>开标（报价）一览表</w:t>
            </w:r>
          </w:p>
        </w:tc>
      </w:tr>
    </w:tbl>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FhZjk4NGQ4NGQ1ODhmMjg0MjAxMzc3NDZjMjFhMTAifQ=="/>
  </w:docVars>
  <w:rsids>
    <w:rsidRoot w:val="00000000"/>
    <w:rsid w:val="075C1AB8"/>
    <w:rsid w:val="26007327"/>
    <w:rsid w:val="29C63095"/>
    <w:rsid w:val="2C3F664C"/>
    <w:rsid w:val="33B72A4E"/>
    <w:rsid w:val="34311A53"/>
    <w:rsid w:val="4CEB65A7"/>
    <w:rsid w:val="59AC5554"/>
    <w:rsid w:val="5BAF4A51"/>
    <w:rsid w:val="65D91252"/>
    <w:rsid w:val="6663343E"/>
    <w:rsid w:val="7C6F44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35</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2026-09-28T00:45:00Z</dcterms:created>
  <dc:creator>Lenovo</dc:creator>
  <cp:lastModifiedBy>秦楚</cp:lastModifiedBy>
  <dcterms:modified xsi:type="dcterms:W3CDTF">2026-09-28T01:28:56Z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CFA6B45AF7CB49ADADAD6DE0325F433D_12</vt:lpwstr>
  </property>
</Properties>
</file>